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BD" w:rsidRDefault="008269A7" w:rsidP="00C3238D">
      <w:pPr>
        <w:spacing w:line="480" w:lineRule="auto"/>
        <w:jc w:val="center"/>
        <w:rPr>
          <w:b/>
          <w:smallCaps/>
          <w:sz w:val="28"/>
          <w:u w:val="single"/>
        </w:rPr>
      </w:pPr>
      <w:bookmarkStart w:id="0" w:name="_GoBack"/>
      <w:bookmarkEnd w:id="0"/>
      <w:r w:rsidRPr="009C56A3">
        <w:rPr>
          <w:b/>
          <w:smallCaps/>
          <w:sz w:val="28"/>
          <w:u w:val="single"/>
        </w:rPr>
        <w:t xml:space="preserve">NSA Surveillance </w:t>
      </w:r>
      <w:r w:rsidR="00062B28" w:rsidRPr="009C56A3">
        <w:rPr>
          <w:b/>
          <w:smallCaps/>
          <w:sz w:val="28"/>
          <w:u w:val="single"/>
        </w:rPr>
        <w:t>Under Section 215 of the PATRIOT Act</w:t>
      </w:r>
    </w:p>
    <w:p w:rsidR="00827DD6" w:rsidRPr="00B62BBD" w:rsidRDefault="00B62BBD" w:rsidP="00C3238D">
      <w:pPr>
        <w:spacing w:line="480" w:lineRule="auto"/>
        <w:jc w:val="center"/>
        <w:rPr>
          <w:smallCaps/>
          <w:sz w:val="28"/>
        </w:rPr>
      </w:pPr>
      <w:r>
        <w:rPr>
          <w:smallCaps/>
          <w:sz w:val="28"/>
        </w:rPr>
        <w:t>Ashling Gallagher</w:t>
      </w:r>
    </w:p>
    <w:sdt>
      <w:sdtPr>
        <w:rPr>
          <w:rFonts w:asciiTheme="minorHAnsi" w:hAnsiTheme="minorHAnsi"/>
          <w:b w:val="0"/>
          <w:bCs/>
          <w:i/>
          <w:caps/>
          <w:smallCaps w:val="0"/>
          <w:kern w:val="2"/>
          <w:sz w:val="22"/>
          <w:szCs w:val="22"/>
          <w:u w:val="none"/>
          <w:lang w:eastAsia="ja-JP"/>
        </w:rPr>
        <w:id w:val="122890271"/>
        <w:docPartObj>
          <w:docPartGallery w:val="Table of Contents"/>
          <w:docPartUnique/>
        </w:docPartObj>
      </w:sdtPr>
      <w:sdtEndPr>
        <w:rPr>
          <w:bCs w:val="0"/>
          <w:i w:val="0"/>
          <w:caps w:val="0"/>
          <w:kern w:val="0"/>
          <w:sz w:val="24"/>
          <w:szCs w:val="24"/>
          <w:lang w:eastAsia="en-US"/>
        </w:rPr>
      </w:sdtEndPr>
      <w:sdtContent>
        <w:p w:rsidR="00827DD6" w:rsidRPr="00F6355D" w:rsidRDefault="00C6109B" w:rsidP="00D72BD1">
          <w:pPr>
            <w:pStyle w:val="TOCHeading"/>
            <w:spacing w:after="240" w:line="360" w:lineRule="auto"/>
            <w:rPr>
              <w:rFonts w:asciiTheme="minorHAnsi" w:hAnsiTheme="minorHAnsi"/>
              <w:b w:val="0"/>
              <w:bCs/>
              <w:kern w:val="2"/>
              <w:sz w:val="22"/>
              <w:szCs w:val="22"/>
              <w:lang w:eastAsia="ja-JP"/>
            </w:rPr>
          </w:pPr>
          <w:r w:rsidRPr="009C56A3">
            <w:rPr>
              <w:rFonts w:asciiTheme="minorHAnsi" w:hAnsiTheme="minorHAnsi"/>
              <w:b w:val="0"/>
              <w:sz w:val="24"/>
              <w:u w:val="none"/>
            </w:rPr>
            <w:t>Table of Contents</w:t>
          </w:r>
        </w:p>
        <w:p w:rsidR="008269A7" w:rsidRPr="00F6355D" w:rsidRDefault="008269A7" w:rsidP="00D72BD1">
          <w:pPr>
            <w:pStyle w:val="TOC1"/>
            <w:jc w:val="both"/>
            <w:rPr>
              <w:rFonts w:asciiTheme="minorHAnsi" w:hAnsiTheme="minorHAnsi"/>
            </w:rPr>
          </w:pPr>
          <w:r w:rsidRPr="00F6355D">
            <w:rPr>
              <w:rFonts w:asciiTheme="minorHAnsi" w:hAnsiTheme="minorHAnsi"/>
            </w:rPr>
            <w:t>I. Section 215 – Arguments and Analysis</w:t>
          </w:r>
          <w:r w:rsidRPr="00F6355D">
            <w:rPr>
              <w:rFonts w:asciiTheme="minorHAnsi" w:hAnsiTheme="minorHAnsi"/>
            </w:rPr>
            <w:ptab w:relativeTo="margin" w:alignment="right" w:leader="dot"/>
          </w:r>
          <w:r w:rsidR="00294ED8">
            <w:rPr>
              <w:rFonts w:asciiTheme="minorHAnsi" w:hAnsiTheme="minorHAnsi"/>
            </w:rPr>
            <w:t>2</w:t>
          </w:r>
        </w:p>
        <w:p w:rsidR="008269A7" w:rsidRPr="00F6355D" w:rsidRDefault="00C6109B" w:rsidP="00D72BD1">
          <w:pPr>
            <w:pStyle w:val="TOC2"/>
            <w:spacing w:line="360" w:lineRule="auto"/>
          </w:pPr>
          <w:r w:rsidRPr="00F6355D">
            <w:t>A. Constitutional Claims</w:t>
          </w:r>
          <w:r w:rsidRPr="00F6355D">
            <w:ptab w:relativeTo="margin" w:alignment="right" w:leader="dot"/>
          </w:r>
          <w:r w:rsidR="00294ED8" w:rsidRPr="00294ED8">
            <w:rPr>
              <w:i w:val="0"/>
              <w:sz w:val="24"/>
            </w:rPr>
            <w:t>3</w:t>
          </w:r>
        </w:p>
        <w:p w:rsidR="0006215C" w:rsidRDefault="00C6109B" w:rsidP="00D72BD1">
          <w:pPr>
            <w:pStyle w:val="TOC3"/>
            <w:spacing w:line="360" w:lineRule="auto"/>
          </w:pPr>
          <w:r w:rsidRPr="00F6355D">
            <w:t>1. First Amendment</w:t>
          </w:r>
          <w:r w:rsidRPr="00F6355D">
            <w:ptab w:relativeTo="margin" w:alignment="right" w:leader="dot"/>
          </w:r>
          <w:r w:rsidR="00294ED8" w:rsidRPr="00294ED8">
            <w:rPr>
              <w:i w:val="0"/>
            </w:rPr>
            <w:t>3</w:t>
          </w:r>
        </w:p>
        <w:p w:rsidR="0006215C" w:rsidRPr="00294ED8" w:rsidRDefault="0006215C" w:rsidP="0006215C">
          <w:pPr>
            <w:pStyle w:val="TOC40"/>
            <w:jc w:val="both"/>
            <w:rPr>
              <w:i w:val="0"/>
            </w:rPr>
          </w:pPr>
          <w:r w:rsidRPr="00F6355D">
            <w:t xml:space="preserve">I. </w:t>
          </w:r>
          <w:r>
            <w:t>ACLU v. Clapper</w:t>
          </w:r>
          <w:r w:rsidRPr="00F6355D">
            <w:ptab w:relativeTo="margin" w:alignment="right" w:leader="dot"/>
          </w:r>
          <w:r w:rsidR="00294ED8" w:rsidRPr="00294ED8">
            <w:rPr>
              <w:i w:val="0"/>
            </w:rPr>
            <w:t>3</w:t>
          </w:r>
        </w:p>
        <w:p w:rsidR="0006215C" w:rsidRPr="00444BEE" w:rsidRDefault="0006215C" w:rsidP="0006215C">
          <w:pPr>
            <w:pStyle w:val="TOC40"/>
            <w:jc w:val="both"/>
            <w:rPr>
              <w:i w:val="0"/>
            </w:rPr>
          </w:pPr>
          <w:r w:rsidRPr="00F6355D">
            <w:t>I</w:t>
          </w:r>
          <w:r>
            <w:t>I</w:t>
          </w:r>
          <w:r w:rsidRPr="00F6355D">
            <w:t xml:space="preserve">. </w:t>
          </w:r>
          <w:r>
            <w:t>Klayman v. Obama</w:t>
          </w:r>
          <w:r w:rsidRPr="00F6355D">
            <w:ptab w:relativeTo="margin" w:alignment="right" w:leader="dot"/>
          </w:r>
          <w:r w:rsidR="00444BEE">
            <w:rPr>
              <w:i w:val="0"/>
            </w:rPr>
            <w:t>5</w:t>
          </w:r>
        </w:p>
        <w:p w:rsidR="0006215C" w:rsidRPr="00444BEE" w:rsidRDefault="0006215C" w:rsidP="0006215C">
          <w:pPr>
            <w:pStyle w:val="TOC40"/>
            <w:jc w:val="both"/>
            <w:rPr>
              <w:i w:val="0"/>
            </w:rPr>
          </w:pPr>
          <w:r>
            <w:t>II</w:t>
          </w:r>
          <w:r w:rsidRPr="00F6355D">
            <w:t xml:space="preserve">I. </w:t>
          </w:r>
          <w:r w:rsidR="002719BE">
            <w:t>Privacy and Civil Liberties Oversight Board Report</w:t>
          </w:r>
          <w:r w:rsidRPr="00F6355D">
            <w:ptab w:relativeTo="margin" w:alignment="right" w:leader="dot"/>
          </w:r>
          <w:r w:rsidR="00444BEE">
            <w:rPr>
              <w:i w:val="0"/>
            </w:rPr>
            <w:t>5</w:t>
          </w:r>
        </w:p>
        <w:p w:rsidR="002719BE" w:rsidRPr="00444BEE" w:rsidRDefault="00C6109B" w:rsidP="00D72BD1">
          <w:pPr>
            <w:pStyle w:val="TOC3"/>
            <w:spacing w:line="360" w:lineRule="auto"/>
            <w:rPr>
              <w:i w:val="0"/>
            </w:rPr>
          </w:pPr>
          <w:r w:rsidRPr="00F6355D">
            <w:t>2. Fourth Amendment</w:t>
          </w:r>
          <w:r w:rsidRPr="00F6355D">
            <w:ptab w:relativeTo="margin" w:alignment="right" w:leader="dot"/>
          </w:r>
          <w:r w:rsidR="00444BEE">
            <w:rPr>
              <w:i w:val="0"/>
            </w:rPr>
            <w:t>7</w:t>
          </w:r>
        </w:p>
        <w:p w:rsidR="002719BE" w:rsidRPr="00444BEE" w:rsidRDefault="002719BE" w:rsidP="002719BE">
          <w:pPr>
            <w:pStyle w:val="TOC40"/>
            <w:jc w:val="both"/>
            <w:rPr>
              <w:i w:val="0"/>
            </w:rPr>
          </w:pPr>
          <w:r w:rsidRPr="00F6355D">
            <w:t xml:space="preserve">I. </w:t>
          </w:r>
          <w:r>
            <w:t>ACLU v. Clapper</w:t>
          </w:r>
          <w:r w:rsidRPr="00F6355D">
            <w:ptab w:relativeTo="margin" w:alignment="right" w:leader="dot"/>
          </w:r>
          <w:r w:rsidR="00444BEE">
            <w:rPr>
              <w:i w:val="0"/>
            </w:rPr>
            <w:t>7</w:t>
          </w:r>
        </w:p>
        <w:p w:rsidR="002719BE" w:rsidRPr="00444BEE" w:rsidRDefault="002719BE" w:rsidP="002719BE">
          <w:pPr>
            <w:pStyle w:val="TOC40"/>
            <w:jc w:val="both"/>
            <w:rPr>
              <w:i w:val="0"/>
            </w:rPr>
          </w:pPr>
          <w:r>
            <w:t>I</w:t>
          </w:r>
          <w:r w:rsidRPr="00F6355D">
            <w:t xml:space="preserve">I. </w:t>
          </w:r>
          <w:r>
            <w:t>Foreign Intelligence Surveillance Court Interpretation</w:t>
          </w:r>
          <w:r w:rsidRPr="00F6355D">
            <w:ptab w:relativeTo="margin" w:alignment="right" w:leader="dot"/>
          </w:r>
          <w:r w:rsidR="00444BEE">
            <w:rPr>
              <w:i w:val="0"/>
            </w:rPr>
            <w:t>9</w:t>
          </w:r>
        </w:p>
        <w:p w:rsidR="00827DD6" w:rsidRPr="00444BEE" w:rsidRDefault="002719BE" w:rsidP="002719BE">
          <w:pPr>
            <w:pStyle w:val="TOC40"/>
            <w:jc w:val="both"/>
            <w:rPr>
              <w:i w:val="0"/>
            </w:rPr>
          </w:pPr>
          <w:r>
            <w:t>II</w:t>
          </w:r>
          <w:r w:rsidRPr="00F6355D">
            <w:t xml:space="preserve">I. </w:t>
          </w:r>
          <w:r>
            <w:t>Obama Administration White Paper</w:t>
          </w:r>
          <w:r w:rsidRPr="00F6355D">
            <w:ptab w:relativeTo="margin" w:alignment="right" w:leader="dot"/>
          </w:r>
          <w:r w:rsidR="00444BEE">
            <w:rPr>
              <w:i w:val="0"/>
            </w:rPr>
            <w:t>10</w:t>
          </w:r>
        </w:p>
        <w:p w:rsidR="00000F13" w:rsidRPr="00444BEE" w:rsidRDefault="002719BE" w:rsidP="002719BE">
          <w:pPr>
            <w:pStyle w:val="TOC40"/>
            <w:jc w:val="both"/>
            <w:rPr>
              <w:i w:val="0"/>
            </w:rPr>
          </w:pPr>
          <w:r w:rsidRPr="00F6355D">
            <w:t>I</w:t>
          </w:r>
          <w:r>
            <w:t>V</w:t>
          </w:r>
          <w:r w:rsidRPr="00F6355D">
            <w:t xml:space="preserve">. </w:t>
          </w:r>
          <w:r>
            <w:t>Klayman v. Obama</w:t>
          </w:r>
          <w:r w:rsidRPr="00F6355D">
            <w:ptab w:relativeTo="margin" w:alignment="right" w:leader="dot"/>
          </w:r>
          <w:r w:rsidR="00444BEE">
            <w:rPr>
              <w:i w:val="0"/>
            </w:rPr>
            <w:t>13</w:t>
          </w:r>
        </w:p>
        <w:p w:rsidR="002719BE" w:rsidRPr="00444BEE" w:rsidRDefault="00000F13" w:rsidP="002719BE">
          <w:pPr>
            <w:pStyle w:val="TOC40"/>
            <w:jc w:val="both"/>
            <w:rPr>
              <w:i w:val="0"/>
            </w:rPr>
          </w:pPr>
          <w:r>
            <w:t>V</w:t>
          </w:r>
          <w:r w:rsidRPr="00F6355D">
            <w:t xml:space="preserve">. </w:t>
          </w:r>
          <w:r w:rsidR="00DF4BA7" w:rsidRPr="00F6355D">
            <w:t>Privacy and Civil Liberties Oversight Board Report</w:t>
          </w:r>
          <w:r w:rsidRPr="00F6355D">
            <w:ptab w:relativeTo="margin" w:alignment="right" w:leader="dot"/>
          </w:r>
          <w:r w:rsidR="00444BEE">
            <w:rPr>
              <w:i w:val="0"/>
            </w:rPr>
            <w:t>15</w:t>
          </w:r>
        </w:p>
        <w:p w:rsidR="00D72BD1" w:rsidRPr="00444BEE" w:rsidRDefault="002719BE" w:rsidP="004C0CE4">
          <w:pPr>
            <w:pStyle w:val="TOC40"/>
            <w:jc w:val="both"/>
            <w:rPr>
              <w:i w:val="0"/>
            </w:rPr>
          </w:pPr>
          <w:r>
            <w:t>V</w:t>
          </w:r>
          <w:r w:rsidR="00000F13">
            <w:t>I</w:t>
          </w:r>
          <w:r w:rsidR="00C6109B" w:rsidRPr="00F6355D">
            <w:t>.</w:t>
          </w:r>
          <w:r w:rsidR="00D34101">
            <w:t xml:space="preserve"> </w:t>
          </w:r>
          <w:r w:rsidR="00D34101" w:rsidRPr="00F6355D">
            <w:t>The Third Party Doctrine</w:t>
          </w:r>
          <w:r w:rsidR="00C6109B" w:rsidRPr="00F6355D">
            <w:ptab w:relativeTo="margin" w:alignment="right" w:leader="dot"/>
          </w:r>
          <w:r w:rsidR="00444BEE">
            <w:rPr>
              <w:i w:val="0"/>
            </w:rPr>
            <w:t>17</w:t>
          </w:r>
        </w:p>
        <w:p w:rsidR="00BC4B54" w:rsidRPr="00444BEE" w:rsidRDefault="00000F13" w:rsidP="004C0CE4">
          <w:pPr>
            <w:pStyle w:val="TOC40"/>
            <w:jc w:val="both"/>
            <w:rPr>
              <w:i w:val="0"/>
            </w:rPr>
          </w:pPr>
          <w:r>
            <w:t>V</w:t>
          </w:r>
          <w:r w:rsidR="00C83EBE" w:rsidRPr="00F6355D">
            <w:t>II</w:t>
          </w:r>
          <w:r w:rsidR="00C6109B" w:rsidRPr="00F6355D">
            <w:t xml:space="preserve">. </w:t>
          </w:r>
          <w:r w:rsidR="00D34101" w:rsidRPr="00F6355D">
            <w:t xml:space="preserve">Smith v. Maryland: </w:t>
          </w:r>
          <w:r w:rsidR="00D34101">
            <w:t>T</w:t>
          </w:r>
          <w:r w:rsidR="00D34101" w:rsidRPr="00F6355D">
            <w:t>he Case That Established the Doctrine</w:t>
          </w:r>
          <w:r w:rsidR="00C6109B" w:rsidRPr="00F6355D">
            <w:ptab w:relativeTo="margin" w:alignment="right" w:leader="dot"/>
          </w:r>
          <w:r w:rsidR="00444BEE">
            <w:rPr>
              <w:i w:val="0"/>
            </w:rPr>
            <w:t>19</w:t>
          </w:r>
        </w:p>
        <w:p w:rsidR="00BC4B54" w:rsidRPr="00444BEE" w:rsidRDefault="00000F13" w:rsidP="004C0CE4">
          <w:pPr>
            <w:pStyle w:val="TOC40"/>
            <w:jc w:val="both"/>
            <w:rPr>
              <w:i w:val="0"/>
            </w:rPr>
          </w:pPr>
          <w:r>
            <w:t>V</w:t>
          </w:r>
          <w:r w:rsidR="00BC4B54" w:rsidRPr="00F6355D">
            <w:t xml:space="preserve">III. </w:t>
          </w:r>
          <w:r w:rsidR="00D34101" w:rsidRPr="00F6355D">
            <w:t>215 Program: Seizure Under the Fourth Amendment?</w:t>
          </w:r>
          <w:r w:rsidR="00BC4B54" w:rsidRPr="00F6355D">
            <w:ptab w:relativeTo="margin" w:alignment="right" w:leader="dot"/>
          </w:r>
          <w:r w:rsidR="00444BEE">
            <w:rPr>
              <w:i w:val="0"/>
            </w:rPr>
            <w:t>23</w:t>
          </w:r>
        </w:p>
        <w:p w:rsidR="00827DD6" w:rsidRPr="00D97301" w:rsidRDefault="00C6109B" w:rsidP="00D72BD1">
          <w:pPr>
            <w:pStyle w:val="TOC3"/>
            <w:spacing w:line="360" w:lineRule="auto"/>
            <w:rPr>
              <w:i w:val="0"/>
            </w:rPr>
          </w:pPr>
          <w:r w:rsidRPr="00F6355D">
            <w:t>5. Fifth Amendment</w:t>
          </w:r>
          <w:r w:rsidRPr="00F6355D">
            <w:ptab w:relativeTo="margin" w:alignment="right" w:leader="dot"/>
          </w:r>
          <w:r w:rsidR="00D97301">
            <w:rPr>
              <w:i w:val="0"/>
            </w:rPr>
            <w:t>25</w:t>
          </w:r>
        </w:p>
        <w:p w:rsidR="008269A7" w:rsidRPr="00D97301" w:rsidRDefault="00C6109B" w:rsidP="00D72BD1">
          <w:pPr>
            <w:pStyle w:val="TOC2"/>
            <w:spacing w:line="360" w:lineRule="auto"/>
            <w:rPr>
              <w:i w:val="0"/>
            </w:rPr>
          </w:pPr>
          <w:r w:rsidRPr="00F6355D">
            <w:t>B. Statutory Claims</w:t>
          </w:r>
          <w:r w:rsidRPr="00F6355D">
            <w:ptab w:relativeTo="margin" w:alignment="right" w:leader="dot"/>
          </w:r>
          <w:r w:rsidR="00D97301" w:rsidRPr="00B31360">
            <w:rPr>
              <w:i w:val="0"/>
              <w:sz w:val="24"/>
            </w:rPr>
            <w:t>25</w:t>
          </w:r>
        </w:p>
        <w:p w:rsidR="00360C50" w:rsidRPr="00D97301" w:rsidRDefault="00C6109B" w:rsidP="00D72BD1">
          <w:pPr>
            <w:pStyle w:val="TOC3"/>
            <w:spacing w:line="360" w:lineRule="auto"/>
            <w:rPr>
              <w:i w:val="0"/>
            </w:rPr>
          </w:pPr>
          <w:r w:rsidRPr="00F6355D">
            <w:t>1. ACLU</w:t>
          </w:r>
          <w:r w:rsidRPr="00F6355D">
            <w:ptab w:relativeTo="margin" w:alignment="right" w:leader="dot"/>
          </w:r>
          <w:r w:rsidR="009905D4">
            <w:rPr>
              <w:i w:val="0"/>
            </w:rPr>
            <w:t>26</w:t>
          </w:r>
        </w:p>
        <w:p w:rsidR="00827DD6" w:rsidRPr="009905D4" w:rsidRDefault="00C6109B" w:rsidP="00D72BD1">
          <w:pPr>
            <w:pStyle w:val="TOC3"/>
            <w:spacing w:line="360" w:lineRule="auto"/>
            <w:rPr>
              <w:i w:val="0"/>
            </w:rPr>
          </w:pPr>
          <w:r w:rsidRPr="00F6355D">
            <w:t>2. Klayman</w:t>
          </w:r>
          <w:r w:rsidRPr="00F6355D">
            <w:ptab w:relativeTo="margin" w:alignment="right" w:leader="dot"/>
          </w:r>
          <w:r w:rsidR="009905D4">
            <w:rPr>
              <w:i w:val="0"/>
            </w:rPr>
            <w:t>30</w:t>
          </w:r>
        </w:p>
        <w:p w:rsidR="00827DD6" w:rsidRPr="009905D4" w:rsidRDefault="00C6109B" w:rsidP="00D72BD1">
          <w:pPr>
            <w:pStyle w:val="TOC3"/>
            <w:spacing w:line="360" w:lineRule="auto"/>
            <w:rPr>
              <w:i w:val="0"/>
            </w:rPr>
          </w:pPr>
          <w:r w:rsidRPr="00F6355D">
            <w:t xml:space="preserve">3. </w:t>
          </w:r>
          <w:r w:rsidR="00827DD6" w:rsidRPr="00F6355D">
            <w:t>F</w:t>
          </w:r>
          <w:r w:rsidR="008A291F">
            <w:t xml:space="preserve">oreign </w:t>
          </w:r>
          <w:r w:rsidR="00827DD6" w:rsidRPr="00F6355D">
            <w:t>I</w:t>
          </w:r>
          <w:r w:rsidR="008A291F">
            <w:t xml:space="preserve">ntelligence </w:t>
          </w:r>
          <w:r w:rsidR="00827DD6" w:rsidRPr="00F6355D">
            <w:t>S</w:t>
          </w:r>
          <w:r w:rsidR="008A291F">
            <w:t xml:space="preserve">urveillance </w:t>
          </w:r>
          <w:r w:rsidR="00827DD6" w:rsidRPr="00F6355D">
            <w:t>C</w:t>
          </w:r>
          <w:r w:rsidR="008A291F">
            <w:t>ourt</w:t>
          </w:r>
          <w:r w:rsidR="00827DD6" w:rsidRPr="00F6355D">
            <w:t xml:space="preserve"> Interpretation</w:t>
          </w:r>
          <w:r w:rsidRPr="00F6355D">
            <w:ptab w:relativeTo="margin" w:alignment="right" w:leader="dot"/>
          </w:r>
          <w:r w:rsidR="009905D4">
            <w:rPr>
              <w:i w:val="0"/>
            </w:rPr>
            <w:t>31</w:t>
          </w:r>
        </w:p>
        <w:p w:rsidR="00360C50" w:rsidRPr="009905D4" w:rsidRDefault="00827DD6" w:rsidP="00D72BD1">
          <w:pPr>
            <w:pStyle w:val="TOC3"/>
            <w:spacing w:line="360" w:lineRule="auto"/>
            <w:rPr>
              <w:i w:val="0"/>
            </w:rPr>
          </w:pPr>
          <w:r w:rsidRPr="00F6355D">
            <w:t xml:space="preserve">4. </w:t>
          </w:r>
          <w:r w:rsidR="002E39CE" w:rsidRPr="00F6355D">
            <w:t xml:space="preserve">Obama </w:t>
          </w:r>
          <w:r w:rsidR="00C07D4F" w:rsidRPr="00F6355D">
            <w:t xml:space="preserve">Administration White Paper </w:t>
          </w:r>
          <w:r w:rsidRPr="00F6355D">
            <w:ptab w:relativeTo="margin" w:alignment="right" w:leader="dot"/>
          </w:r>
          <w:r w:rsidR="009905D4">
            <w:rPr>
              <w:i w:val="0"/>
            </w:rPr>
            <w:t>37</w:t>
          </w:r>
        </w:p>
        <w:p w:rsidR="001114CD" w:rsidRPr="009905D4" w:rsidRDefault="00C07D4F" w:rsidP="00D72BD1">
          <w:pPr>
            <w:pStyle w:val="TOC3"/>
            <w:spacing w:line="360" w:lineRule="auto"/>
            <w:rPr>
              <w:i w:val="0"/>
            </w:rPr>
          </w:pPr>
          <w:r w:rsidRPr="00F6355D">
            <w:t>5. P</w:t>
          </w:r>
          <w:r w:rsidR="00066DED" w:rsidRPr="00F6355D">
            <w:t xml:space="preserve">rivacy and </w:t>
          </w:r>
          <w:r w:rsidRPr="00F6355D">
            <w:t>C</w:t>
          </w:r>
          <w:r w:rsidR="00066DED" w:rsidRPr="00F6355D">
            <w:t xml:space="preserve">ivil </w:t>
          </w:r>
          <w:r w:rsidRPr="00F6355D">
            <w:t>L</w:t>
          </w:r>
          <w:r w:rsidR="00066DED" w:rsidRPr="00F6355D">
            <w:t xml:space="preserve">iberties </w:t>
          </w:r>
          <w:r w:rsidRPr="00F6355D">
            <w:t>O</w:t>
          </w:r>
          <w:r w:rsidR="00066DED" w:rsidRPr="00F6355D">
            <w:t xml:space="preserve">versight </w:t>
          </w:r>
          <w:r w:rsidRPr="00F6355D">
            <w:t>B</w:t>
          </w:r>
          <w:r w:rsidR="00066DED" w:rsidRPr="00F6355D">
            <w:t>oard</w:t>
          </w:r>
          <w:r w:rsidRPr="00F6355D">
            <w:t xml:space="preserve"> Report</w:t>
          </w:r>
          <w:r w:rsidRPr="00F6355D">
            <w:ptab w:relativeTo="margin" w:alignment="right" w:leader="dot"/>
          </w:r>
          <w:r w:rsidR="009905D4">
            <w:rPr>
              <w:i w:val="0"/>
            </w:rPr>
            <w:t>40</w:t>
          </w:r>
        </w:p>
        <w:p w:rsidR="00B62BBD" w:rsidRDefault="00563908" w:rsidP="00B62BBD">
          <w:r>
            <w:t>Conclusion</w:t>
          </w:r>
          <w:r w:rsidRPr="00F6355D">
            <w:ptab w:relativeTo="margin" w:alignment="right" w:leader="dot"/>
          </w:r>
          <w:r w:rsidR="009905D4">
            <w:t>4</w:t>
          </w:r>
          <w:r w:rsidR="00B62BBD">
            <w:t>8</w:t>
          </w:r>
        </w:p>
      </w:sdtContent>
    </w:sdt>
    <w:p w:rsidR="004328D3" w:rsidRPr="00831D76" w:rsidRDefault="004B74F0" w:rsidP="00831D76">
      <w:pPr>
        <w:pStyle w:val="TOC1"/>
        <w:numPr>
          <w:ilvl w:val="0"/>
          <w:numId w:val="1"/>
        </w:numPr>
        <w:spacing w:line="480" w:lineRule="auto"/>
        <w:jc w:val="both"/>
        <w:rPr>
          <w:rFonts w:asciiTheme="minorHAnsi" w:hAnsiTheme="minorHAnsi"/>
        </w:rPr>
      </w:pPr>
      <w:r>
        <w:rPr>
          <w:rFonts w:asciiTheme="minorHAnsi" w:hAnsiTheme="minorHAnsi"/>
        </w:rPr>
        <w:lastRenderedPageBreak/>
        <w:t xml:space="preserve">Government </w:t>
      </w:r>
      <w:r w:rsidR="00831D76">
        <w:rPr>
          <w:rFonts w:asciiTheme="minorHAnsi" w:hAnsiTheme="minorHAnsi"/>
        </w:rPr>
        <w:t xml:space="preserve">Surveillance Conducted under </w:t>
      </w:r>
      <w:r w:rsidR="004328D3" w:rsidRPr="00F6355D">
        <w:rPr>
          <w:rFonts w:asciiTheme="minorHAnsi" w:hAnsiTheme="minorHAnsi"/>
        </w:rPr>
        <w:t xml:space="preserve">Section 215 – </w:t>
      </w:r>
      <w:r w:rsidR="00831D76">
        <w:rPr>
          <w:rFonts w:asciiTheme="minorHAnsi" w:hAnsiTheme="minorHAnsi"/>
        </w:rPr>
        <w:br/>
      </w:r>
      <w:r w:rsidR="004328D3" w:rsidRPr="00831D76">
        <w:rPr>
          <w:rFonts w:asciiTheme="minorHAnsi" w:hAnsiTheme="minorHAnsi"/>
        </w:rPr>
        <w:t>Argu</w:t>
      </w:r>
      <w:r w:rsidR="00C6109B" w:rsidRPr="00831D76">
        <w:rPr>
          <w:rFonts w:asciiTheme="minorHAnsi" w:hAnsiTheme="minorHAnsi"/>
        </w:rPr>
        <w:t>ments and Analysis</w:t>
      </w:r>
    </w:p>
    <w:p w:rsidR="0088763A" w:rsidRPr="00F6355D" w:rsidRDefault="00C6109B" w:rsidP="00C3238D">
      <w:pPr>
        <w:spacing w:line="480" w:lineRule="auto"/>
        <w:jc w:val="both"/>
      </w:pPr>
      <w:r w:rsidRPr="00F6355D">
        <w:tab/>
        <w:t xml:space="preserve">Naturally, there are two camps on the </w:t>
      </w:r>
      <w:r w:rsidR="00B246A3" w:rsidRPr="00F6355D">
        <w:t xml:space="preserve">Constitutional </w:t>
      </w:r>
      <w:r w:rsidRPr="00F6355D">
        <w:t>legality of bulk metadata collection under Section 215 of the PATR</w:t>
      </w:r>
      <w:r w:rsidR="00B246A3" w:rsidRPr="00F6355D">
        <w:t>IOT Act; those who believe it</w:t>
      </w:r>
      <w:r w:rsidRPr="00F6355D">
        <w:t xml:space="preserve"> </w:t>
      </w:r>
      <w:r w:rsidR="00B246A3" w:rsidRPr="00F6355D">
        <w:t>violates the Constitution</w:t>
      </w:r>
      <w:r w:rsidRPr="00F6355D">
        <w:t xml:space="preserve">, and those </w:t>
      </w:r>
      <w:r w:rsidR="00B246A3" w:rsidRPr="00F6355D">
        <w:t>do not</w:t>
      </w:r>
      <w:r w:rsidRPr="00F6355D">
        <w:t xml:space="preserve">. In determining the overall legality of the </w:t>
      </w:r>
      <w:r w:rsidR="0007403D" w:rsidRPr="00F6355D">
        <w:t>practice of bulk collection of U.S. persons’ telephony metadata (hereafter referred to as the “</w:t>
      </w:r>
      <w:r w:rsidRPr="00F6355D">
        <w:t>215 Program</w:t>
      </w:r>
      <w:r w:rsidR="0007403D" w:rsidRPr="00F6355D">
        <w:t>”</w:t>
      </w:r>
      <w:r w:rsidR="00810562" w:rsidRPr="00F6355D">
        <w:t xml:space="preserve"> or simply the “Program”</w:t>
      </w:r>
      <w:r w:rsidR="0007403D" w:rsidRPr="00F6355D">
        <w:t>)</w:t>
      </w:r>
      <w:r w:rsidR="00B246A3" w:rsidRPr="00F6355D">
        <w:t>, we must</w:t>
      </w:r>
      <w:r w:rsidRPr="00F6355D">
        <w:t xml:space="preserve"> </w:t>
      </w:r>
      <w:r w:rsidR="00B246A3" w:rsidRPr="00F6355D">
        <w:t xml:space="preserve">also </w:t>
      </w:r>
      <w:r w:rsidRPr="00F6355D">
        <w:t xml:space="preserve">examine </w:t>
      </w:r>
      <w:r w:rsidR="0007403D" w:rsidRPr="00F6355D">
        <w:t>whether or not the Program</w:t>
      </w:r>
      <w:r w:rsidR="0088763A" w:rsidRPr="00F6355D">
        <w:t xml:space="preserve"> exceeds the authorities provided by the plain language of the statute itself</w:t>
      </w:r>
      <w:r w:rsidRPr="00F6355D">
        <w:t xml:space="preserve">. </w:t>
      </w:r>
    </w:p>
    <w:p w:rsidR="00BB20AA" w:rsidRPr="00F6355D" w:rsidRDefault="0088763A" w:rsidP="00C3238D">
      <w:pPr>
        <w:spacing w:line="480" w:lineRule="auto"/>
        <w:jc w:val="both"/>
      </w:pPr>
      <w:r w:rsidRPr="00F6355D">
        <w:tab/>
      </w:r>
      <w:r w:rsidR="00C6109B" w:rsidRPr="00F6355D">
        <w:t xml:space="preserve">This </w:t>
      </w:r>
      <w:r w:rsidR="00AC7B07">
        <w:t>paper</w:t>
      </w:r>
      <w:r w:rsidR="00C6109B" w:rsidRPr="00F6355D">
        <w:t xml:space="preserve"> will proceed in two parts. Part one will address the constitutional claims</w:t>
      </w:r>
      <w:r w:rsidR="00CC0055">
        <w:t xml:space="preserve"> </w:t>
      </w:r>
      <w:r w:rsidR="00831D76">
        <w:t>brought in</w:t>
      </w:r>
      <w:r w:rsidR="00CC0055">
        <w:t xml:space="preserve"> civilian lawsuits and reports commissioned by the administration</w:t>
      </w:r>
      <w:r w:rsidR="00C6109B" w:rsidRPr="00F6355D">
        <w:t>, but will also contemplate the</w:t>
      </w:r>
      <w:r w:rsidRPr="00F6355D">
        <w:t xml:space="preserve"> related</w:t>
      </w:r>
      <w:r w:rsidR="00C6109B" w:rsidRPr="00F6355D">
        <w:t xml:space="preserve"> question </w:t>
      </w:r>
      <w:r w:rsidR="007F74D9">
        <w:t xml:space="preserve">of </w:t>
      </w:r>
      <w:r w:rsidR="00C6109B" w:rsidRPr="00F6355D">
        <w:t>the relevancy of the Third Party Doctrine</w:t>
      </w:r>
      <w:r w:rsidR="00134E63" w:rsidRPr="00F6355D">
        <w:t xml:space="preserve"> in 21</w:t>
      </w:r>
      <w:r w:rsidR="00134E63" w:rsidRPr="00F6355D">
        <w:rPr>
          <w:vertAlign w:val="superscript"/>
        </w:rPr>
        <w:t>st</w:t>
      </w:r>
      <w:r w:rsidR="00134E63" w:rsidRPr="00F6355D">
        <w:t xml:space="preserve"> Century life</w:t>
      </w:r>
      <w:r w:rsidR="00C6109B" w:rsidRPr="00F6355D">
        <w:t xml:space="preserve">. Part two, will look at </w:t>
      </w:r>
      <w:r w:rsidR="00EA49E9" w:rsidRPr="00F6355D">
        <w:t>claims concerning</w:t>
      </w:r>
      <w:r w:rsidR="00C6109B" w:rsidRPr="00F6355D">
        <w:t xml:space="preserve"> the United States Government (hereafter called </w:t>
      </w:r>
      <w:r w:rsidR="00186DA9" w:rsidRPr="00F6355D">
        <w:t xml:space="preserve">the </w:t>
      </w:r>
      <w:r w:rsidR="00C6109B" w:rsidRPr="00F6355D">
        <w:t xml:space="preserve">“Government”) exceeding </w:t>
      </w:r>
      <w:r w:rsidR="00EA49E9" w:rsidRPr="00F6355D">
        <w:t>statutory</w:t>
      </w:r>
      <w:r w:rsidR="00AC7B07">
        <w:t xml:space="preserve"> limitations. Both s</w:t>
      </w:r>
      <w:r w:rsidR="00C6109B" w:rsidRPr="00F6355D">
        <w:t>ection</w:t>
      </w:r>
      <w:r w:rsidR="00AC7B07">
        <w:t>s</w:t>
      </w:r>
      <w:r w:rsidR="00C6109B" w:rsidRPr="00F6355D">
        <w:t xml:space="preserve"> will depend heavily on the </w:t>
      </w:r>
      <w:r w:rsidR="003E39B7">
        <w:t xml:space="preserve">ongoing lawsuits, </w:t>
      </w:r>
      <w:r w:rsidR="00C6109B" w:rsidRPr="00F6355D">
        <w:rPr>
          <w:i/>
        </w:rPr>
        <w:t>Ameri</w:t>
      </w:r>
      <w:r w:rsidR="00322259" w:rsidRPr="00F6355D">
        <w:rPr>
          <w:i/>
        </w:rPr>
        <w:t>can Civil Liberties Union</w:t>
      </w:r>
      <w:r w:rsidR="00C6109B" w:rsidRPr="00F6355D">
        <w:rPr>
          <w:i/>
        </w:rPr>
        <w:t xml:space="preserve"> v. Clapper</w:t>
      </w:r>
      <w:r w:rsidR="00C6109B" w:rsidRPr="00F6355D">
        <w:t xml:space="preserve"> and </w:t>
      </w:r>
      <w:r w:rsidR="00C6109B" w:rsidRPr="00F6355D">
        <w:rPr>
          <w:i/>
        </w:rPr>
        <w:t>Klayman v. Obama</w:t>
      </w:r>
      <w:r w:rsidR="003E39B7">
        <w:rPr>
          <w:i/>
        </w:rPr>
        <w:t>,</w:t>
      </w:r>
      <w:r w:rsidR="00C6109B" w:rsidRPr="00F6355D">
        <w:t xml:space="preserve"> as well as the Privacy and Civil Liberties Oversight Board (</w:t>
      </w:r>
      <w:r w:rsidR="00186DA9" w:rsidRPr="00F6355D">
        <w:t>“</w:t>
      </w:r>
      <w:r w:rsidR="00C6109B" w:rsidRPr="00F6355D">
        <w:t>PCLOB</w:t>
      </w:r>
      <w:r w:rsidR="00186DA9" w:rsidRPr="00F6355D">
        <w:t>”</w:t>
      </w:r>
      <w:r w:rsidR="003C0317" w:rsidRPr="00F6355D">
        <w:t xml:space="preserve"> or the </w:t>
      </w:r>
      <w:r w:rsidR="00186DA9" w:rsidRPr="00F6355D">
        <w:t>“</w:t>
      </w:r>
      <w:r w:rsidR="003C0317" w:rsidRPr="00F6355D">
        <w:t>Board</w:t>
      </w:r>
      <w:r w:rsidR="00186DA9" w:rsidRPr="00F6355D">
        <w:t>”</w:t>
      </w:r>
      <w:r w:rsidR="00C6109B" w:rsidRPr="00F6355D">
        <w:t xml:space="preserve">) January 23, 2014 report, but will also bring in commentary from </w:t>
      </w:r>
      <w:r w:rsidR="007F74D9">
        <w:t>governmental proceedings and</w:t>
      </w:r>
      <w:r w:rsidR="00C6109B" w:rsidRPr="00F6355D">
        <w:t xml:space="preserve"> reports. I will not draw from the President’s Review Group report dated December 12, 2013, </w:t>
      </w:r>
      <w:r w:rsidR="007F74D9">
        <w:t>as this report</w:t>
      </w:r>
      <w:r w:rsidR="00C6109B" w:rsidRPr="00F6355D">
        <w:t xml:space="preserve"> only made recommendations for policy changes and did not contemplate the legality </w:t>
      </w:r>
      <w:r w:rsidR="0007403D" w:rsidRPr="00F6355D">
        <w:t xml:space="preserve">or constitutionality </w:t>
      </w:r>
      <w:r w:rsidR="00C6109B" w:rsidRPr="00F6355D">
        <w:t xml:space="preserve">of National Security Agency (NSA) practices. </w:t>
      </w:r>
    </w:p>
    <w:p w:rsidR="000C59F0" w:rsidRPr="00D2450E" w:rsidRDefault="00C6109B" w:rsidP="00D72BD1">
      <w:pPr>
        <w:pStyle w:val="TOC2"/>
        <w:rPr>
          <w:b/>
          <w:u w:val="single"/>
        </w:rPr>
      </w:pPr>
      <w:r w:rsidRPr="00D2450E">
        <w:rPr>
          <w:b/>
          <w:u w:val="single"/>
        </w:rPr>
        <w:t xml:space="preserve">A. </w:t>
      </w:r>
      <w:r w:rsidRPr="00D2450E">
        <w:rPr>
          <w:b/>
          <w:u w:val="single"/>
        </w:rPr>
        <w:tab/>
        <w:t>Constitutional Claims</w:t>
      </w:r>
    </w:p>
    <w:p w:rsidR="000C59F0" w:rsidRPr="00F6355D" w:rsidRDefault="00C6109B" w:rsidP="00C3238D">
      <w:pPr>
        <w:spacing w:line="480" w:lineRule="auto"/>
        <w:jc w:val="both"/>
      </w:pPr>
      <w:r w:rsidRPr="00F6355D">
        <w:tab/>
        <w:t>Claims of Constitutional violations under the Foreign Intelligence Surveillance Act (FISA)</w:t>
      </w:r>
      <w:r w:rsidR="00A43200">
        <w:t xml:space="preserve"> </w:t>
      </w:r>
      <w:r w:rsidR="00937642">
        <w:t xml:space="preserve">business records provision commonly known as section 215 (hereinafter referred to as “Section 215” or </w:t>
      </w:r>
      <w:r w:rsidR="00236655">
        <w:t>simply “215”)</w:t>
      </w:r>
      <w:r w:rsidR="00937642">
        <w:t xml:space="preserve"> codified as 50 U.S.C. § 1861, </w:t>
      </w:r>
      <w:r w:rsidRPr="00F6355D">
        <w:t xml:space="preserve">have been </w:t>
      </w:r>
      <w:r w:rsidR="001053A3">
        <w:t xml:space="preserve">the </w:t>
      </w:r>
      <w:r w:rsidRPr="00F6355D">
        <w:t>most prominent</w:t>
      </w:r>
      <w:r w:rsidR="00EA49E9" w:rsidRPr="00F6355D">
        <w:t xml:space="preserve"> </w:t>
      </w:r>
      <w:r w:rsidR="00236655">
        <w:t xml:space="preserve">in </w:t>
      </w:r>
      <w:r w:rsidR="00075A87" w:rsidRPr="00F6355D">
        <w:t>national news media</w:t>
      </w:r>
      <w:r w:rsidR="00075A87">
        <w:t xml:space="preserve"> in </w:t>
      </w:r>
      <w:r w:rsidR="00EA49E9" w:rsidRPr="00F6355D">
        <w:t>allegation</w:t>
      </w:r>
      <w:r w:rsidR="00236655">
        <w:t>s</w:t>
      </w:r>
      <w:r w:rsidR="00EA49E9" w:rsidRPr="00F6355D">
        <w:t xml:space="preserve"> of Governmental overreach</w:t>
      </w:r>
      <w:r w:rsidRPr="00F6355D">
        <w:t xml:space="preserve">. Here, I will attempt to parse out the various </w:t>
      </w:r>
      <w:r w:rsidR="003A51E7">
        <w:t>accusations, defenses,</w:t>
      </w:r>
      <w:r w:rsidRPr="00F6355D">
        <w:t xml:space="preserve"> and reasoni</w:t>
      </w:r>
      <w:r w:rsidR="00EA49E9" w:rsidRPr="00F6355D">
        <w:t>ng behind each of the</w:t>
      </w:r>
      <w:r w:rsidRPr="00F6355D">
        <w:t xml:space="preserve"> arguments.</w:t>
      </w:r>
      <w:r w:rsidR="001053A3">
        <w:t xml:space="preserve"> </w:t>
      </w:r>
    </w:p>
    <w:p w:rsidR="00827DD6" w:rsidRPr="00D2450E" w:rsidRDefault="00C6109B" w:rsidP="00D72BD1">
      <w:pPr>
        <w:pStyle w:val="TOC3"/>
        <w:rPr>
          <w:b/>
        </w:rPr>
      </w:pPr>
      <w:r w:rsidRPr="00D2450E">
        <w:rPr>
          <w:b/>
        </w:rPr>
        <w:t>1. First Amendment</w:t>
      </w:r>
    </w:p>
    <w:p w:rsidR="004B2DB5" w:rsidRPr="00F6355D" w:rsidRDefault="00FF19EC" w:rsidP="00C3238D">
      <w:pPr>
        <w:spacing w:line="480" w:lineRule="auto"/>
        <w:jc w:val="both"/>
      </w:pPr>
      <w:r w:rsidRPr="00F6355D">
        <w:tab/>
        <w:t xml:space="preserve">While most of the dialogue </w:t>
      </w:r>
      <w:r w:rsidR="0036615C" w:rsidRPr="00F6355D">
        <w:t>of</w:t>
      </w:r>
      <w:r w:rsidR="006F360C" w:rsidRPr="00F6355D">
        <w:t xml:space="preserve"> the</w:t>
      </w:r>
      <w:r w:rsidRPr="00F6355D">
        <w:t xml:space="preserve"> Constitutionality of the 215 Program centers on the Fourth Amendment’s </w:t>
      </w:r>
      <w:r w:rsidR="00810562" w:rsidRPr="00F6355D">
        <w:t xml:space="preserve">promise of </w:t>
      </w:r>
      <w:r w:rsidR="006F360C" w:rsidRPr="00F6355D">
        <w:t xml:space="preserve">the </w:t>
      </w:r>
      <w:r w:rsidRPr="00F6355D">
        <w:t>right to privacy, b</w:t>
      </w:r>
      <w:r w:rsidR="00C6109B" w:rsidRPr="00F6355D">
        <w:t>oth the A</w:t>
      </w:r>
      <w:r w:rsidR="00322259" w:rsidRPr="00F6355D">
        <w:t xml:space="preserve">merican </w:t>
      </w:r>
      <w:r w:rsidR="00C6109B" w:rsidRPr="00F6355D">
        <w:t>C</w:t>
      </w:r>
      <w:r w:rsidR="00322259" w:rsidRPr="00F6355D">
        <w:t xml:space="preserve">ivil </w:t>
      </w:r>
      <w:r w:rsidR="00C6109B" w:rsidRPr="00F6355D">
        <w:t>L</w:t>
      </w:r>
      <w:r w:rsidR="00322259" w:rsidRPr="00F6355D">
        <w:t xml:space="preserve">iberties </w:t>
      </w:r>
      <w:r w:rsidR="00C6109B" w:rsidRPr="00F6355D">
        <w:t>U</w:t>
      </w:r>
      <w:r w:rsidR="00322259" w:rsidRPr="00F6355D">
        <w:t>nion</w:t>
      </w:r>
      <w:r w:rsidR="00C6109B" w:rsidRPr="00F6355D">
        <w:t xml:space="preserve"> </w:t>
      </w:r>
      <w:r w:rsidR="00322259" w:rsidRPr="00F6355D">
        <w:t xml:space="preserve">(ACLU) </w:t>
      </w:r>
      <w:r w:rsidR="00C6109B" w:rsidRPr="00F6355D">
        <w:t xml:space="preserve">and </w:t>
      </w:r>
      <w:r w:rsidR="00322259" w:rsidRPr="00F6355D">
        <w:t xml:space="preserve">Larry </w:t>
      </w:r>
      <w:r w:rsidR="00C6109B" w:rsidRPr="00F6355D">
        <w:t>Klayman</w:t>
      </w:r>
      <w:r w:rsidR="00322259" w:rsidRPr="00F6355D">
        <w:t>, founder of the government watchdog group Freedom Watch,</w:t>
      </w:r>
      <w:r w:rsidR="00C6109B" w:rsidRPr="00F6355D">
        <w:t xml:space="preserve"> argue in their respective lawsuits filed </w:t>
      </w:r>
      <w:r w:rsidR="00BC03C1" w:rsidRPr="00F6355D">
        <w:t>against the</w:t>
      </w:r>
      <w:r w:rsidR="00C6109B" w:rsidRPr="00F6355D">
        <w:t xml:space="preserve"> Government </w:t>
      </w:r>
      <w:r w:rsidR="00BC03C1" w:rsidRPr="00F6355D">
        <w:t xml:space="preserve">in 2013 </w:t>
      </w:r>
      <w:r w:rsidRPr="00F6355D">
        <w:t xml:space="preserve">that the </w:t>
      </w:r>
      <w:r w:rsidR="001053A3">
        <w:t xml:space="preserve">215 </w:t>
      </w:r>
      <w:r w:rsidRPr="00F6355D">
        <w:t>P</w:t>
      </w:r>
      <w:r w:rsidR="00C6109B" w:rsidRPr="00F6355D">
        <w:t xml:space="preserve">rogram violates, among other things, the First Amendment. </w:t>
      </w:r>
      <w:r w:rsidR="00BB1FD8">
        <w:t xml:space="preserve"> T</w:t>
      </w:r>
      <w:r w:rsidR="00C6109B" w:rsidRPr="00F6355D">
        <w:t xml:space="preserve">he PCLOB </w:t>
      </w:r>
      <w:r w:rsidR="00BB1FD8">
        <w:t xml:space="preserve">also weighed in on the First Amendment implications </w:t>
      </w:r>
      <w:r w:rsidR="0073283A">
        <w:t>exerted by the</w:t>
      </w:r>
      <w:r w:rsidR="00BB1FD8">
        <w:t xml:space="preserve"> 215 Program and </w:t>
      </w:r>
      <w:r w:rsidR="00C6109B" w:rsidRPr="00F6355D">
        <w:t xml:space="preserve">found that </w:t>
      </w:r>
      <w:r w:rsidR="00BB1FD8">
        <w:t>it</w:t>
      </w:r>
      <w:r w:rsidR="00C6109B" w:rsidRPr="00F6355D">
        <w:t xml:space="preserve"> does </w:t>
      </w:r>
      <w:r w:rsidR="00BB1FD8">
        <w:t>place pressure on that Amendment</w:t>
      </w:r>
      <w:r w:rsidR="0005365E">
        <w:t>’s freedom of association</w:t>
      </w:r>
      <w:r w:rsidR="00C6109B" w:rsidRPr="00F6355D">
        <w:t>.</w:t>
      </w:r>
      <w:r w:rsidR="00BB1FD8">
        <w:t xml:space="preserve"> </w:t>
      </w:r>
    </w:p>
    <w:p w:rsidR="00863EFB" w:rsidRPr="00F6355D" w:rsidRDefault="003345CC" w:rsidP="00C3238D">
      <w:pPr>
        <w:pStyle w:val="TOC40"/>
        <w:spacing w:line="480" w:lineRule="auto"/>
        <w:rPr>
          <w:u w:val="single"/>
        </w:rPr>
      </w:pPr>
      <w:r w:rsidRPr="003345CC">
        <w:tab/>
      </w:r>
      <w:r w:rsidR="004B2DB5" w:rsidRPr="00F6355D">
        <w:rPr>
          <w:u w:val="single"/>
        </w:rPr>
        <w:t xml:space="preserve">I. </w:t>
      </w:r>
      <w:r w:rsidR="004B2DB5" w:rsidRPr="00F6355D">
        <w:rPr>
          <w:u w:val="single"/>
        </w:rPr>
        <w:tab/>
        <w:t>ACLU</w:t>
      </w:r>
      <w:r>
        <w:rPr>
          <w:u w:val="single"/>
        </w:rPr>
        <w:t xml:space="preserve"> v</w:t>
      </w:r>
      <w:r w:rsidR="004B2DB5" w:rsidRPr="00F6355D">
        <w:rPr>
          <w:u w:val="single"/>
        </w:rPr>
        <w:t>. Clapper</w:t>
      </w:r>
    </w:p>
    <w:p w:rsidR="004B2DB5" w:rsidRPr="00F6355D" w:rsidRDefault="00C6109B" w:rsidP="00C3238D">
      <w:pPr>
        <w:spacing w:line="480" w:lineRule="auto"/>
        <w:jc w:val="both"/>
      </w:pPr>
      <w:r w:rsidRPr="00F6355D">
        <w:rPr>
          <w:b/>
        </w:rPr>
        <w:tab/>
      </w:r>
      <w:r w:rsidRPr="00F6355D">
        <w:t xml:space="preserve">In </w:t>
      </w:r>
      <w:r w:rsidRPr="00F6355D">
        <w:rPr>
          <w:i/>
        </w:rPr>
        <w:t>ACLU v. Clapper</w:t>
      </w:r>
      <w:r w:rsidRPr="00F6355D">
        <w:t xml:space="preserve">, the ACLU </w:t>
      </w:r>
      <w:r w:rsidR="006F360C" w:rsidRPr="00F6355D">
        <w:t xml:space="preserve">argues, </w:t>
      </w:r>
      <w:r w:rsidRPr="00F6355D">
        <w:t>“[t]he fact that the government is collecting information is likely to have a chilling effect on people who would otherwise contact Plaintiffs.</w:t>
      </w:r>
      <w:r w:rsidR="009D58AD">
        <w:t>” While the Government contends that</w:t>
      </w:r>
      <w:r w:rsidRPr="00F6355D">
        <w:t>, “surveillance consistent w</w:t>
      </w:r>
      <w:r w:rsidR="006F360C" w:rsidRPr="00F6355D">
        <w:t>ith Fourth Amendment protection</w:t>
      </w:r>
      <w:r w:rsidRPr="00F6355D">
        <w:t xml:space="preserve"> . . . does not violate First Amendment rights, even though it may be directed at communicative or associative activities.”</w:t>
      </w:r>
      <w:r w:rsidRPr="00F6355D">
        <w:rPr>
          <w:rStyle w:val="FootnoteReference"/>
        </w:rPr>
        <w:footnoteReference w:id="1"/>
      </w:r>
      <w:r w:rsidRPr="00F6355D">
        <w:t xml:space="preserve"> </w:t>
      </w:r>
      <w:r w:rsidR="00417812" w:rsidRPr="00F6355D">
        <w:t xml:space="preserve">Judge William </w:t>
      </w:r>
      <w:r w:rsidRPr="00F6355D">
        <w:t>Pauley</w:t>
      </w:r>
      <w:r w:rsidR="00417812" w:rsidRPr="00F6355D">
        <w:t xml:space="preserve">, presiding over the case </w:t>
      </w:r>
      <w:r w:rsidR="0089041A" w:rsidRPr="00F6355D">
        <w:t>in</w:t>
      </w:r>
      <w:r w:rsidR="00417812" w:rsidRPr="00F6355D">
        <w:t xml:space="preserve"> the </w:t>
      </w:r>
      <w:r w:rsidR="0089041A" w:rsidRPr="00F6355D">
        <w:t xml:space="preserve">U.S. District Court for </w:t>
      </w:r>
      <w:r w:rsidR="00417812" w:rsidRPr="00F6355D">
        <w:t>Southern District of New York</w:t>
      </w:r>
      <w:r w:rsidRPr="00F6355D">
        <w:t xml:space="preserve">, </w:t>
      </w:r>
      <w:r w:rsidR="00417812" w:rsidRPr="00F6355D">
        <w:t xml:space="preserve">in </w:t>
      </w:r>
      <w:r w:rsidRPr="00F6355D">
        <w:t xml:space="preserve">citing </w:t>
      </w:r>
      <w:r w:rsidRPr="00F6355D">
        <w:rPr>
          <w:i/>
        </w:rPr>
        <w:t>Clapper v. Amnesty International USA</w:t>
      </w:r>
      <w:r w:rsidRPr="00F6355D">
        <w:rPr>
          <w:rStyle w:val="FootnoteReference"/>
          <w:i/>
        </w:rPr>
        <w:footnoteReference w:id="2"/>
      </w:r>
      <w:r w:rsidRPr="00F6355D">
        <w:t xml:space="preserve">, responds, “It is unnecessary to decide whether there could be a First Amendment violation in the absence of a Fourth Amendment violation because </w:t>
      </w:r>
      <w:r w:rsidRPr="00F6355D">
        <w:rPr>
          <w:i/>
        </w:rPr>
        <w:t>Amnesty International</w:t>
      </w:r>
      <w:r w:rsidRPr="00F6355D">
        <w:t xml:space="preserve"> compels the conclusion that the bulk metadata collection does not burden First Amendment rights substantially</w:t>
      </w:r>
      <w:r w:rsidR="009D58AD">
        <w:t xml:space="preserve"> </w:t>
      </w:r>
      <w:r w:rsidRPr="00F6355D">
        <w:t>.</w:t>
      </w:r>
      <w:r w:rsidR="009D58AD">
        <w:t xml:space="preserve"> . . </w:t>
      </w:r>
      <w:r w:rsidRPr="00F6355D">
        <w:t>There must be a direct and substantial or significant burden on associational rights in order for it to qualify as substantial. Mere incidental burdens on the right to associate do not violate the First Amendment.” (internal quotations omitted).</w:t>
      </w:r>
      <w:r w:rsidRPr="00F6355D">
        <w:rPr>
          <w:rStyle w:val="FootnoteReference"/>
        </w:rPr>
        <w:footnoteReference w:id="3"/>
      </w:r>
      <w:r w:rsidRPr="00F6355D">
        <w:t xml:space="preserve"> </w:t>
      </w:r>
      <w:r w:rsidR="00EC36D8" w:rsidRPr="00F6355D">
        <w:t xml:space="preserve">Judge Pauley </w:t>
      </w:r>
      <w:r w:rsidR="00DD3E2E">
        <w:t xml:space="preserve">additionally </w:t>
      </w:r>
      <w:r w:rsidR="00EC36D8" w:rsidRPr="00F6355D">
        <w:t>found that “Any alleged chilling effect here arises from the ACLU’s speculative fear that the Government will review telephony metadata</w:t>
      </w:r>
      <w:r w:rsidR="009D58AD">
        <w:t xml:space="preserve"> </w:t>
      </w:r>
      <w:r w:rsidR="00EC36D8" w:rsidRPr="00F6355D">
        <w:t xml:space="preserve">related to the ACLU’s telephone calls. </w:t>
      </w:r>
      <w:r w:rsidR="001214CD" w:rsidRPr="00F6355D">
        <w:t>For telephony metadata to be used to identify those who contact Plaintiffs for legal assistance or to report human-rights or civil liberties violations it must actually be review</w:t>
      </w:r>
      <w:r w:rsidR="009D58AD">
        <w:t>ed</w:t>
      </w:r>
      <w:r w:rsidR="001214CD" w:rsidRPr="00F6355D">
        <w:t xml:space="preserve"> and the identities of the telephone subscribers determined. Fear that telephony metadata relating to the ACLU will be queried or reviewed or further investigated relies on a highly attenuated chain of possibilities. Such a fear is insufficient to create standing. Neither can it establish a violation of an individual’s First Amendment rights.”</w:t>
      </w:r>
      <w:r w:rsidR="00E27C08" w:rsidRPr="00F6355D">
        <w:t xml:space="preserve"> (internal quotations </w:t>
      </w:r>
      <w:r w:rsidR="0082265F">
        <w:t xml:space="preserve">and citations </w:t>
      </w:r>
      <w:r w:rsidR="00E27C08" w:rsidRPr="00F6355D">
        <w:t>omitted).</w:t>
      </w:r>
      <w:r w:rsidR="00E27C08" w:rsidRPr="00F6355D">
        <w:rPr>
          <w:rStyle w:val="FootnoteReference"/>
        </w:rPr>
        <w:footnoteReference w:id="4"/>
      </w:r>
      <w:r w:rsidR="00DD3E2E">
        <w:t xml:space="preserve"> Thus, Judge Pauley found</w:t>
      </w:r>
      <w:r w:rsidR="003D7157">
        <w:t xml:space="preserve"> that </w:t>
      </w:r>
      <w:r w:rsidR="000453CE">
        <w:t xml:space="preserve">because </w:t>
      </w:r>
      <w:r w:rsidR="003D7157">
        <w:t xml:space="preserve">it cannot be shown that the NSA or any other governmental agency </w:t>
      </w:r>
      <w:r w:rsidR="001D7C4E">
        <w:t xml:space="preserve">actually </w:t>
      </w:r>
      <w:r w:rsidR="003D7157" w:rsidRPr="001D7C4E">
        <w:t>queried</w:t>
      </w:r>
      <w:r w:rsidR="003D7157">
        <w:t xml:space="preserve"> </w:t>
      </w:r>
      <w:r w:rsidR="001D7C4E">
        <w:t xml:space="preserve">and analyzed </w:t>
      </w:r>
      <w:r w:rsidR="003D7157">
        <w:t xml:space="preserve">Plaintiffs’ </w:t>
      </w:r>
      <w:r w:rsidR="001D7C4E" w:rsidRPr="00767144">
        <w:rPr>
          <w:i/>
        </w:rPr>
        <w:t xml:space="preserve">already </w:t>
      </w:r>
      <w:r w:rsidR="003D7157" w:rsidRPr="00767144">
        <w:rPr>
          <w:i/>
        </w:rPr>
        <w:t>collected</w:t>
      </w:r>
      <w:r w:rsidR="000453CE">
        <w:t xml:space="preserve"> metadata</w:t>
      </w:r>
      <w:r w:rsidR="000D5523">
        <w:t>,</w:t>
      </w:r>
      <w:r w:rsidR="000453CE">
        <w:t xml:space="preserve"> </w:t>
      </w:r>
      <w:r w:rsidR="000D5523">
        <w:t xml:space="preserve">the 215 Program </w:t>
      </w:r>
      <w:r w:rsidR="000453CE">
        <w:t xml:space="preserve">does not implicate </w:t>
      </w:r>
      <w:r w:rsidR="00583ECA">
        <w:t xml:space="preserve">the </w:t>
      </w:r>
      <w:r w:rsidR="000453CE">
        <w:t>First Amendment’s freedom of association</w:t>
      </w:r>
      <w:r w:rsidR="003D7157">
        <w:t>. Interestingly, Judge Pauley</w:t>
      </w:r>
      <w:r w:rsidR="00AA10C5">
        <w:t xml:space="preserve"> </w:t>
      </w:r>
      <w:r w:rsidR="003D7157">
        <w:t xml:space="preserve">did not </w:t>
      </w:r>
      <w:r w:rsidR="00303E57">
        <w:t xml:space="preserve">draw his line </w:t>
      </w:r>
      <w:r w:rsidR="00AA10C5">
        <w:t>at the action of collection</w:t>
      </w:r>
      <w:r w:rsidR="00303E57">
        <w:t xml:space="preserve">, rather </w:t>
      </w:r>
      <w:r w:rsidR="00AA10C5">
        <w:t xml:space="preserve">at the action of analysis. </w:t>
      </w:r>
      <w:r w:rsidR="006E27BA">
        <w:t xml:space="preserve">He </w:t>
      </w:r>
      <w:r w:rsidR="000D5523">
        <w:t xml:space="preserve">found that </w:t>
      </w:r>
      <w:r w:rsidR="00303E57">
        <w:t>because there was a negligible likelihood that Plainti</w:t>
      </w:r>
      <w:r w:rsidR="00AA10C5">
        <w:t>ffs’ metadata had been analyzed</w:t>
      </w:r>
      <w:r w:rsidR="001D7C4E">
        <w:t xml:space="preserve"> associational freedoms were not violated.</w:t>
      </w:r>
    </w:p>
    <w:p w:rsidR="003F75D5" w:rsidRPr="00F6355D" w:rsidRDefault="003345CC" w:rsidP="00C3238D">
      <w:pPr>
        <w:pStyle w:val="TOC40"/>
        <w:spacing w:line="480" w:lineRule="auto"/>
        <w:rPr>
          <w:u w:val="single"/>
        </w:rPr>
      </w:pPr>
      <w:r w:rsidRPr="003345CC">
        <w:tab/>
      </w:r>
      <w:r w:rsidR="004B2DB5" w:rsidRPr="00F6355D">
        <w:rPr>
          <w:u w:val="single"/>
        </w:rPr>
        <w:t>II.</w:t>
      </w:r>
      <w:r w:rsidR="004B2DB5" w:rsidRPr="00F6355D">
        <w:rPr>
          <w:u w:val="single"/>
        </w:rPr>
        <w:tab/>
        <w:t>Klayman v. Obama</w:t>
      </w:r>
    </w:p>
    <w:p w:rsidR="00142342" w:rsidRPr="00F6355D" w:rsidRDefault="00E27C08" w:rsidP="00C3238D">
      <w:pPr>
        <w:spacing w:line="480" w:lineRule="auto"/>
        <w:jc w:val="both"/>
      </w:pPr>
      <w:r w:rsidRPr="00F6355D">
        <w:tab/>
        <w:t>Klayman’s arguments</w:t>
      </w:r>
      <w:r w:rsidR="0045588E" w:rsidRPr="00F6355D">
        <w:t xml:space="preserve"> before Judge Richard Leon of the </w:t>
      </w:r>
      <w:r w:rsidR="00366F46">
        <w:t xml:space="preserve">U.S. </w:t>
      </w:r>
      <w:r w:rsidR="0045588E" w:rsidRPr="00F6355D">
        <w:t>District Court of the District of Columbia</w:t>
      </w:r>
      <w:r w:rsidRPr="00F6355D">
        <w:t xml:space="preserve"> mirrored </w:t>
      </w:r>
      <w:r w:rsidR="00562AC0" w:rsidRPr="00F6355D">
        <w:t>those</w:t>
      </w:r>
      <w:r w:rsidRPr="00F6355D">
        <w:t xml:space="preserve"> of the</w:t>
      </w:r>
      <w:r w:rsidR="0045588E" w:rsidRPr="00F6355D">
        <w:t xml:space="preserve"> ACLU</w:t>
      </w:r>
      <w:r w:rsidR="00366F46">
        <w:t>’s</w:t>
      </w:r>
      <w:r w:rsidR="0045588E" w:rsidRPr="00F6355D">
        <w:t xml:space="preserve"> in terms of the </w:t>
      </w:r>
      <w:r w:rsidR="00C6109B" w:rsidRPr="00F6355D">
        <w:t>First Amendment claim: “[T]he mass surveillance program and the broad-sweeping Verizon Order exposes private and sensitive information regarding Plaintiffs’ communications and contacts, which consequently directly impacts their ability to continue their advocacy activities.”</w:t>
      </w:r>
      <w:r w:rsidR="00C6109B" w:rsidRPr="00F6355D">
        <w:rPr>
          <w:rStyle w:val="FootnoteReference"/>
        </w:rPr>
        <w:footnoteReference w:id="5"/>
      </w:r>
      <w:r w:rsidR="00C6109B" w:rsidRPr="00F6355D">
        <w:t xml:space="preserve"> </w:t>
      </w:r>
      <w:r w:rsidR="00323117" w:rsidRPr="00F6355D">
        <w:t>Judge Leon neither examines nor dismisses</w:t>
      </w:r>
      <w:r w:rsidR="00C6109B" w:rsidRPr="00F6355D">
        <w:t xml:space="preserve"> the First </w:t>
      </w:r>
      <w:r w:rsidR="00323117" w:rsidRPr="00F6355D">
        <w:t>and Fifth Amendment claims brought by Klayman</w:t>
      </w:r>
      <w:r w:rsidR="003C215D">
        <w:t>, but</w:t>
      </w:r>
      <w:r w:rsidR="008A0DB8" w:rsidRPr="00F6355D">
        <w:t xml:space="preserve"> </w:t>
      </w:r>
      <w:r w:rsidR="00FE0ECC" w:rsidRPr="00F6355D">
        <w:t xml:space="preserve">issued the preliminary injunction on the basis </w:t>
      </w:r>
      <w:r w:rsidR="00037BBF">
        <w:t xml:space="preserve">that </w:t>
      </w:r>
      <w:r w:rsidR="00366F46">
        <w:t>the Plaintiff</w:t>
      </w:r>
      <w:r w:rsidR="00FE0ECC" w:rsidRPr="00F6355D">
        <w:t>’s Fourth Amendment claims will succeed.</w:t>
      </w:r>
    </w:p>
    <w:p w:rsidR="009E1A65" w:rsidRPr="00F6355D" w:rsidRDefault="003345CC" w:rsidP="00C3238D">
      <w:pPr>
        <w:pStyle w:val="TOC40"/>
        <w:spacing w:line="480" w:lineRule="auto"/>
        <w:rPr>
          <w:u w:val="single"/>
        </w:rPr>
      </w:pPr>
      <w:r w:rsidRPr="003345CC">
        <w:tab/>
      </w:r>
      <w:r w:rsidR="00142342" w:rsidRPr="00F6355D">
        <w:rPr>
          <w:u w:val="single"/>
        </w:rPr>
        <w:t xml:space="preserve">III. </w:t>
      </w:r>
      <w:r w:rsidR="00142342" w:rsidRPr="00F6355D">
        <w:rPr>
          <w:u w:val="single"/>
        </w:rPr>
        <w:tab/>
        <w:t>P</w:t>
      </w:r>
      <w:r w:rsidR="00E3509D">
        <w:rPr>
          <w:u w:val="single"/>
        </w:rPr>
        <w:t xml:space="preserve">rivacy and </w:t>
      </w:r>
      <w:r w:rsidR="00142342" w:rsidRPr="00F6355D">
        <w:rPr>
          <w:u w:val="single"/>
        </w:rPr>
        <w:t>C</w:t>
      </w:r>
      <w:r w:rsidR="00E3509D">
        <w:rPr>
          <w:u w:val="single"/>
        </w:rPr>
        <w:t xml:space="preserve">ivil </w:t>
      </w:r>
      <w:r w:rsidR="00142342" w:rsidRPr="00F6355D">
        <w:rPr>
          <w:u w:val="single"/>
        </w:rPr>
        <w:t>L</w:t>
      </w:r>
      <w:r w:rsidR="00E3509D">
        <w:rPr>
          <w:u w:val="single"/>
        </w:rPr>
        <w:t xml:space="preserve">iberties </w:t>
      </w:r>
      <w:r w:rsidR="00142342" w:rsidRPr="00F6355D">
        <w:rPr>
          <w:u w:val="single"/>
        </w:rPr>
        <w:t>O</w:t>
      </w:r>
      <w:r w:rsidR="00E3509D">
        <w:rPr>
          <w:u w:val="single"/>
        </w:rPr>
        <w:t xml:space="preserve">versight </w:t>
      </w:r>
      <w:r w:rsidR="00142342" w:rsidRPr="00F6355D">
        <w:rPr>
          <w:u w:val="single"/>
        </w:rPr>
        <w:t>B</w:t>
      </w:r>
      <w:r w:rsidR="00E3509D">
        <w:rPr>
          <w:u w:val="single"/>
        </w:rPr>
        <w:t>oard</w:t>
      </w:r>
      <w:r w:rsidR="00142342" w:rsidRPr="00F6355D">
        <w:rPr>
          <w:u w:val="single"/>
        </w:rPr>
        <w:t xml:space="preserve"> Report</w:t>
      </w:r>
    </w:p>
    <w:p w:rsidR="00130922" w:rsidRPr="00F6355D" w:rsidRDefault="00C6109B" w:rsidP="00C3238D">
      <w:pPr>
        <w:spacing w:line="480" w:lineRule="auto"/>
        <w:jc w:val="both"/>
      </w:pPr>
      <w:r w:rsidRPr="00F6355D">
        <w:tab/>
        <w:t xml:space="preserve">The </w:t>
      </w:r>
      <w:r w:rsidR="00E3509D">
        <w:t>PCLOB</w:t>
      </w:r>
      <w:r w:rsidRPr="00F6355D">
        <w:t xml:space="preserve"> in their report dated January 23, 2014 found that “</w:t>
      </w:r>
      <w:r w:rsidR="005B7510">
        <w:t>By indefinitely collecting</w:t>
      </w:r>
      <w:r w:rsidR="00406375">
        <w:t xml:space="preserve"> information about all Americans’ telephone calls, the NSA’s telephone records program clearly implicates the First Amendment freedoms of speech and association.</w:t>
      </w:r>
      <w:r w:rsidRPr="00F6355D">
        <w:t>”</w:t>
      </w:r>
      <w:r w:rsidRPr="00F6355D">
        <w:rPr>
          <w:rStyle w:val="FootnoteReference"/>
        </w:rPr>
        <w:footnoteReference w:id="6"/>
      </w:r>
      <w:r w:rsidRPr="00F6355D">
        <w:t xml:space="preserve"> </w:t>
      </w:r>
      <w:r w:rsidR="00C25B58">
        <w:tab/>
      </w:r>
      <w:r w:rsidR="003F6CC3">
        <w:t xml:space="preserve">Having </w:t>
      </w:r>
      <w:r w:rsidR="0090412D">
        <w:t>stated</w:t>
      </w:r>
      <w:r w:rsidR="003F6CC3">
        <w:t xml:space="preserve"> this, the Board goes on to </w:t>
      </w:r>
      <w:r w:rsidR="00AC59A7">
        <w:t>examine</w:t>
      </w:r>
      <w:r w:rsidR="003F6CC3">
        <w:t xml:space="preserve"> whether or not </w:t>
      </w:r>
      <w:r w:rsidR="00AA7414">
        <w:t xml:space="preserve">the 215 Program’s chilling effects </w:t>
      </w:r>
      <w:r w:rsidR="00AC59A7">
        <w:t>will be minimal</w:t>
      </w:r>
      <w:r w:rsidR="0090412D">
        <w:t xml:space="preserve"> or significant; if they find the effects</w:t>
      </w:r>
      <w:r w:rsidR="00AC59A7">
        <w:t xml:space="preserve"> to be significant the </w:t>
      </w:r>
      <w:r w:rsidR="005A5FA5">
        <w:t>“</w:t>
      </w:r>
      <w:r w:rsidR="00AC59A7">
        <w:t>exacting scrutiny</w:t>
      </w:r>
      <w:r w:rsidR="005A5FA5">
        <w:t>”</w:t>
      </w:r>
      <w:r w:rsidR="00697196">
        <w:t xml:space="preserve"> test is </w:t>
      </w:r>
      <w:r w:rsidR="00AC59A7">
        <w:t xml:space="preserve">applied, </w:t>
      </w:r>
      <w:r w:rsidR="005A5FA5">
        <w:t xml:space="preserve">“and the question becomes whether the government possesses </w:t>
      </w:r>
      <w:r w:rsidR="00AC59A7">
        <w:t>a sufficiently important interest and employs means closely drawn to avoid unnecessary abridgement of associational freedoms.”</w:t>
      </w:r>
      <w:r w:rsidR="005A5FA5">
        <w:t xml:space="preserve"> (internal quotations omitted).</w:t>
      </w:r>
      <w:r w:rsidR="00E73F2F">
        <w:rPr>
          <w:rStyle w:val="FootnoteReference"/>
        </w:rPr>
        <w:footnoteReference w:id="7"/>
      </w:r>
      <w:r w:rsidR="00AC59A7">
        <w:t xml:space="preserve"> </w:t>
      </w:r>
      <w:r w:rsidR="00AA7414">
        <w:t xml:space="preserve"> </w:t>
      </w:r>
      <w:r w:rsidR="005A5FA5">
        <w:t>As we know, the 215 Program does not collect telephony meta</w:t>
      </w:r>
      <w:r w:rsidR="00B24836">
        <w:t xml:space="preserve">data on a </w:t>
      </w:r>
      <w:r w:rsidR="00367B50">
        <w:t>specified</w:t>
      </w:r>
      <w:r w:rsidR="00B24836">
        <w:t xml:space="preserve"> target;</w:t>
      </w:r>
      <w:r w:rsidR="005A5FA5">
        <w:t xml:space="preserve"> rather the Program sweeps up a large cache of information regarding individuals who ha</w:t>
      </w:r>
      <w:r w:rsidR="00B24836">
        <w:t>ve no connection to terrorist or</w:t>
      </w:r>
      <w:r w:rsidR="005A5FA5">
        <w:t xml:space="preserve"> </w:t>
      </w:r>
      <w:r w:rsidR="00B24836">
        <w:t xml:space="preserve">otherwise </w:t>
      </w:r>
      <w:r w:rsidR="005A5FA5">
        <w:t xml:space="preserve">illicit activities. </w:t>
      </w:r>
      <w:r w:rsidR="000E2DDA">
        <w:t>As such, “the NSA’s bulk collection of telephone records can be expected to exert a substantial chilling effect on the activities of journalists, protestors, whistleblowers, political activists, and ordinary individuals.”</w:t>
      </w:r>
      <w:r w:rsidR="000E2DDA">
        <w:rPr>
          <w:rStyle w:val="FootnoteReference"/>
        </w:rPr>
        <w:footnoteReference w:id="8"/>
      </w:r>
      <w:r w:rsidR="000E2DDA">
        <w:t xml:space="preserve"> </w:t>
      </w:r>
      <w:r w:rsidR="00D07481">
        <w:t>A more particularized investigation, on the other hand, does not exert the same pressures on the First Amendment’s right to</w:t>
      </w:r>
      <w:r w:rsidR="00BD39CC">
        <w:t xml:space="preserve"> freedom of association because</w:t>
      </w:r>
      <w:r w:rsidR="00C3238D">
        <w:t xml:space="preserve"> “individuals can expect that their records will not be collected unless they are connected to a specific criminal or terrorism investigation.” The Board concludes that “the likely deterrence of these associational activities by the 215 bulk collection p</w:t>
      </w:r>
      <w:r w:rsidR="00B97B56">
        <w:t>rogram rises to the level of a significant interference</w:t>
      </w:r>
      <w:r w:rsidR="00C3238D">
        <w:t xml:space="preserve"> with the protected rights of political association, and thus the exacting scrutiny test should apply.”</w:t>
      </w:r>
      <w:r w:rsidR="00B97B56">
        <w:t>(internal quotations omitted).</w:t>
      </w:r>
      <w:r w:rsidR="00ED4990">
        <w:rPr>
          <w:rStyle w:val="FootnoteReference"/>
        </w:rPr>
        <w:footnoteReference w:id="9"/>
      </w:r>
      <w:r w:rsidR="003C215D">
        <w:t xml:space="preserve"> The Board concedes that the Government’s obligation to fight terrorism is a compelling reason to </w:t>
      </w:r>
      <w:r w:rsidR="00BA0F00">
        <w:t>encroach</w:t>
      </w:r>
      <w:r w:rsidR="003C215D">
        <w:t xml:space="preserve"> upon Constitutionally protected areas, but they ultimately find “it doubtful that the NSA’s program satisfies the requirement that the program be drawn narrowly to minimize the intrusion on associational rights.”</w:t>
      </w:r>
      <w:r w:rsidR="00C3238D">
        <w:rPr>
          <w:rStyle w:val="FootnoteReference"/>
        </w:rPr>
        <w:footnoteReference w:id="10"/>
      </w:r>
      <w:r w:rsidR="00B97B56">
        <w:t xml:space="preserve"> </w:t>
      </w:r>
    </w:p>
    <w:p w:rsidR="00827DD6" w:rsidRPr="00D2450E" w:rsidRDefault="00C6109B" w:rsidP="00D72BD1">
      <w:pPr>
        <w:pStyle w:val="TOC3"/>
        <w:rPr>
          <w:b/>
        </w:rPr>
      </w:pPr>
      <w:r w:rsidRPr="00F6355D">
        <w:tab/>
      </w:r>
      <w:r w:rsidRPr="00D2450E">
        <w:rPr>
          <w:b/>
        </w:rPr>
        <w:t>2. Fourth Amendment</w:t>
      </w:r>
    </w:p>
    <w:p w:rsidR="00523828" w:rsidRDefault="00C6109B" w:rsidP="00C3238D">
      <w:pPr>
        <w:spacing w:line="480" w:lineRule="auto"/>
        <w:jc w:val="both"/>
      </w:pPr>
      <w:r w:rsidRPr="00F6355D">
        <w:tab/>
        <w:t>The Fourth Amendment guarantees “</w:t>
      </w:r>
      <w:r w:rsidR="00AF4B7D" w:rsidRPr="00F6355D">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r w:rsidRPr="00F6355D">
        <w:t>”</w:t>
      </w:r>
      <w:r w:rsidRPr="00F6355D">
        <w:rPr>
          <w:rStyle w:val="FootnoteReference"/>
        </w:rPr>
        <w:footnoteReference w:id="11"/>
      </w:r>
      <w:r w:rsidRPr="00F6355D">
        <w:t xml:space="preserve"> </w:t>
      </w:r>
    </w:p>
    <w:p w:rsidR="00AF4B7D" w:rsidRPr="00523828" w:rsidRDefault="00523828" w:rsidP="00523828">
      <w:pPr>
        <w:pStyle w:val="TOC3"/>
        <w:rPr>
          <w:u w:val="single"/>
        </w:rPr>
      </w:pPr>
      <w:r>
        <w:tab/>
      </w:r>
      <w:r>
        <w:tab/>
      </w:r>
      <w:r w:rsidRPr="00523828">
        <w:rPr>
          <w:u w:val="single"/>
        </w:rPr>
        <w:t xml:space="preserve">I. </w:t>
      </w:r>
      <w:r w:rsidRPr="00523828">
        <w:rPr>
          <w:u w:val="single"/>
        </w:rPr>
        <w:tab/>
        <w:t>ACLU v. Clapper</w:t>
      </w:r>
    </w:p>
    <w:p w:rsidR="003101DE" w:rsidRPr="00F6355D" w:rsidRDefault="00AF4B7D" w:rsidP="00C3238D">
      <w:pPr>
        <w:spacing w:line="480" w:lineRule="auto"/>
        <w:jc w:val="both"/>
      </w:pPr>
      <w:r w:rsidRPr="00F6355D">
        <w:tab/>
      </w:r>
      <w:r w:rsidR="00C6109B" w:rsidRPr="00F6355D">
        <w:t xml:space="preserve">In analyzing the Fourth Amendment claims brought by the ACLU, Judge Pauley draws on the </w:t>
      </w:r>
      <w:r w:rsidR="00A9121B">
        <w:t xml:space="preserve">Supreme Court </w:t>
      </w:r>
      <w:r w:rsidR="00C6109B" w:rsidRPr="00F6355D">
        <w:t xml:space="preserve">decisions of </w:t>
      </w:r>
      <w:r w:rsidR="00A9121B">
        <w:t xml:space="preserve">(i) </w:t>
      </w:r>
      <w:r w:rsidR="00C6109B" w:rsidRPr="00F6355D">
        <w:rPr>
          <w:i/>
        </w:rPr>
        <w:t>Katz v. United States</w:t>
      </w:r>
      <w:r w:rsidR="00C6109B" w:rsidRPr="00F6355D">
        <w:t xml:space="preserve">, which established that a “search” occurs when </w:t>
      </w:r>
      <w:r w:rsidR="00A9121B">
        <w:t xml:space="preserve">the </w:t>
      </w:r>
      <w:r w:rsidR="00C6109B" w:rsidRPr="00F6355D">
        <w:t>Government violates a person’s “reasonab</w:t>
      </w:r>
      <w:r w:rsidR="009A1EA9">
        <w:t>le expectation of privacy”, and</w:t>
      </w:r>
      <w:r w:rsidRPr="00F6355D">
        <w:t xml:space="preserve"> </w:t>
      </w:r>
      <w:r w:rsidR="00A9121B">
        <w:t xml:space="preserve">(ii) </w:t>
      </w:r>
      <w:r w:rsidRPr="00F6355D">
        <w:t xml:space="preserve">with greater importance, </w:t>
      </w:r>
      <w:r w:rsidR="00C6109B" w:rsidRPr="00F6355D">
        <w:rPr>
          <w:i/>
        </w:rPr>
        <w:t>Smith v. Maryland</w:t>
      </w:r>
      <w:r w:rsidR="00C6109B" w:rsidRPr="00F6355D">
        <w:t>, which established that individuals have no “legitimate expectation of privacy in information provided to third parties.”</w:t>
      </w:r>
      <w:r w:rsidR="00C6109B" w:rsidRPr="00F6355D">
        <w:rPr>
          <w:rStyle w:val="FootnoteReference"/>
        </w:rPr>
        <w:footnoteReference w:id="12"/>
      </w:r>
      <w:r w:rsidR="00C6109B" w:rsidRPr="00F6355D">
        <w:t xml:space="preserve"> </w:t>
      </w:r>
      <w:r w:rsidRPr="00F6355D">
        <w:t xml:space="preserve">For Judge Pauley, the Government, and </w:t>
      </w:r>
      <w:r w:rsidR="00D62186" w:rsidRPr="00F6355D">
        <w:t xml:space="preserve">the Foreign </w:t>
      </w:r>
      <w:r w:rsidRPr="00F6355D">
        <w:t>I</w:t>
      </w:r>
      <w:r w:rsidR="00D62186" w:rsidRPr="00F6355D">
        <w:t xml:space="preserve">ntelligence Surveillance </w:t>
      </w:r>
      <w:r w:rsidRPr="00F6355D">
        <w:t>C</w:t>
      </w:r>
      <w:r w:rsidR="00D62186" w:rsidRPr="00F6355D">
        <w:t>ourt (FISC)</w:t>
      </w:r>
      <w:r w:rsidR="00132451" w:rsidRPr="00F6355D">
        <w:t>,</w:t>
      </w:r>
      <w:r w:rsidRPr="00F6355D">
        <w:t xml:space="preserve"> </w:t>
      </w:r>
      <w:r w:rsidRPr="00F6355D">
        <w:rPr>
          <w:i/>
        </w:rPr>
        <w:t>Smith</w:t>
      </w:r>
      <w:r w:rsidRPr="00F6355D">
        <w:t xml:space="preserve"> is </w:t>
      </w:r>
      <w:r w:rsidR="00132451" w:rsidRPr="00F6355D">
        <w:t xml:space="preserve">unequivocally </w:t>
      </w:r>
      <w:r w:rsidRPr="00F6355D">
        <w:t xml:space="preserve">the controlling case in assessing Fourth Amendment rights violations </w:t>
      </w:r>
      <w:r w:rsidR="001A0813" w:rsidRPr="00F6355D">
        <w:t>in</w:t>
      </w:r>
      <w:r w:rsidRPr="00F6355D">
        <w:t xml:space="preserve"> bulk metadata collection under Section 215.</w:t>
      </w:r>
    </w:p>
    <w:p w:rsidR="00523828" w:rsidRDefault="00C6109B" w:rsidP="00C3238D">
      <w:pPr>
        <w:spacing w:line="480" w:lineRule="auto"/>
        <w:jc w:val="both"/>
      </w:pPr>
      <w:r w:rsidRPr="00F6355D">
        <w:tab/>
        <w:t xml:space="preserve">The ACLU, in their oral argument </w:t>
      </w:r>
      <w:r w:rsidR="00061C55">
        <w:t xml:space="preserve">before Judge Pauley </w:t>
      </w:r>
      <w:r w:rsidRPr="00F6355D">
        <w:t xml:space="preserve">on November 22, 2013, ask (i) does long-term </w:t>
      </w:r>
      <w:r w:rsidR="00165F5B">
        <w:t xml:space="preserve">telephony metadata </w:t>
      </w:r>
      <w:r w:rsidRPr="00F6355D">
        <w:t xml:space="preserve">collection constitute a search for Fourth Amendment purposes and (ii) is such </w:t>
      </w:r>
      <w:r w:rsidR="00044626">
        <w:t>collection</w:t>
      </w:r>
      <w:r w:rsidRPr="00F6355D">
        <w:t xml:space="preserve"> reasonable. They answer this by stating that yes telephony metadata collection does constitute a search (which search happens at the moment </w:t>
      </w:r>
      <w:r w:rsidR="00044626">
        <w:t>the information is obtained</w:t>
      </w:r>
      <w:r w:rsidRPr="00F6355D">
        <w:t xml:space="preserve">) because </w:t>
      </w:r>
      <w:r w:rsidR="00775CDD">
        <w:t>it</w:t>
      </w:r>
      <w:r w:rsidRPr="00F6355D">
        <w:t xml:space="preserve"> places an extraordinary amount of information about Americans in the hands of the government and thus violates an individual’s reasonable expectation of privacy. And no, indefinite and pervasive collection of every Americans’ telephone call metadata for use at some point in the future is not reasonable. </w:t>
      </w:r>
      <w:r w:rsidR="00AF222B">
        <w:t>Judge Pauley</w:t>
      </w:r>
      <w:r w:rsidRPr="00F6355D">
        <w:t xml:space="preserve"> responds to this by stating, “There is no reasonable expectation of privacy in this exact kind of information – dialed telephone numbers – and therefore the Fourth Amendment is not implicated here. Moreover, even if the Fourth Amendment were applicable, the production of metadata ordered by the FISC would satisfy the reasonableness standard applicable to suspicionless searches that serve special government needs, in which the intrusion on privacy interests is balanced against the Government’s interest in the search.”</w:t>
      </w:r>
      <w:r w:rsidRPr="00F6355D">
        <w:rPr>
          <w:rStyle w:val="FootnoteReference"/>
        </w:rPr>
        <w:footnoteReference w:id="13"/>
      </w:r>
      <w:r w:rsidR="00AD7FDD">
        <w:t xml:space="preserve"> The Government, as defendant</w:t>
      </w:r>
      <w:r w:rsidR="009A11C0">
        <w:t xml:space="preserve"> in this lawsuit, </w:t>
      </w:r>
      <w:r w:rsidRPr="00F6355D">
        <w:t xml:space="preserve">relies heavily on </w:t>
      </w:r>
      <w:r w:rsidRPr="00F6355D">
        <w:rPr>
          <w:i/>
        </w:rPr>
        <w:t>Smith v. Maryland</w:t>
      </w:r>
      <w:r w:rsidRPr="00F6355D">
        <w:t>, an argument Judge Pauley</w:t>
      </w:r>
      <w:r w:rsidR="008502E8">
        <w:t xml:space="preserve"> ultimately accepts</w:t>
      </w:r>
      <w:r w:rsidRPr="00F6355D">
        <w:t xml:space="preserve">. Pauley writing in his final decision to dismiss the case </w:t>
      </w:r>
      <w:r w:rsidR="00AD7FDD">
        <w:t>declared</w:t>
      </w:r>
      <w:r w:rsidRPr="00F6355D">
        <w:t xml:space="preserve">, “[T]he Supreme Court did not overrule </w:t>
      </w:r>
      <w:r w:rsidRPr="00F6355D">
        <w:rPr>
          <w:i/>
        </w:rPr>
        <w:t>Smith</w:t>
      </w:r>
      <w:r w:rsidRPr="00F6355D">
        <w:t xml:space="preserve">. And the Supreme Court has instructed lower courts not to predict whether it would overrule a precedent even if its reasoning has been supplanted by later cases . . . Telephones have far more versatility now than when </w:t>
      </w:r>
      <w:r w:rsidRPr="00F6355D">
        <w:rPr>
          <w:i/>
        </w:rPr>
        <w:t>Smith</w:t>
      </w:r>
      <w:r w:rsidRPr="00F6355D">
        <w:t xml:space="preserve"> was decided, but this case only concerns their use as telephones. The fact that there are more calls placed does not undermine the Supreme Court’s finding that a person has no subjective expectation of privacy in telephony metadata.”</w:t>
      </w:r>
      <w:r w:rsidRPr="00F6355D">
        <w:rPr>
          <w:rStyle w:val="FootnoteReference"/>
        </w:rPr>
        <w:footnoteReference w:id="14"/>
      </w:r>
    </w:p>
    <w:p w:rsidR="00132451" w:rsidRPr="00523828" w:rsidRDefault="00523828" w:rsidP="00523828">
      <w:pPr>
        <w:pStyle w:val="TOC3"/>
        <w:rPr>
          <w:u w:val="single"/>
        </w:rPr>
      </w:pPr>
      <w:r>
        <w:tab/>
      </w:r>
      <w:r>
        <w:tab/>
      </w:r>
      <w:r w:rsidRPr="00523828">
        <w:rPr>
          <w:u w:val="single"/>
        </w:rPr>
        <w:t xml:space="preserve">II. </w:t>
      </w:r>
      <w:r w:rsidRPr="00523828">
        <w:rPr>
          <w:u w:val="single"/>
        </w:rPr>
        <w:tab/>
        <w:t>Foreign Intelligence Surveillance Court</w:t>
      </w:r>
    </w:p>
    <w:p w:rsidR="00A2087C" w:rsidRPr="009E41EC" w:rsidRDefault="00132451" w:rsidP="00C3238D">
      <w:pPr>
        <w:spacing w:line="480" w:lineRule="auto"/>
        <w:jc w:val="both"/>
      </w:pPr>
      <w:r w:rsidRPr="00F6355D">
        <w:tab/>
      </w:r>
      <w:r w:rsidR="00596E5F" w:rsidRPr="00F6355D">
        <w:t xml:space="preserve">Thanks to a </w:t>
      </w:r>
      <w:r w:rsidR="00C44E56" w:rsidRPr="00F6355D">
        <w:t xml:space="preserve">treasure trove </w:t>
      </w:r>
      <w:r w:rsidR="00596E5F" w:rsidRPr="00F6355D">
        <w:t xml:space="preserve">of recently declassified </w:t>
      </w:r>
      <w:r w:rsidR="00D62186" w:rsidRPr="00F6355D">
        <w:t>FISC</w:t>
      </w:r>
      <w:r w:rsidR="00596E5F" w:rsidRPr="00F6355D">
        <w:t xml:space="preserve"> </w:t>
      </w:r>
      <w:r w:rsidR="00D62186" w:rsidRPr="00F6355D">
        <w:t>opinions</w:t>
      </w:r>
      <w:r w:rsidR="00C96178">
        <w:t>,</w:t>
      </w:r>
      <w:r w:rsidR="00596E5F" w:rsidRPr="00F6355D">
        <w:t xml:space="preserve"> we now know that </w:t>
      </w:r>
      <w:r w:rsidR="000375CC" w:rsidRPr="00F6355D">
        <w:t>the judges of that secret</w:t>
      </w:r>
      <w:r w:rsidR="00400C08" w:rsidRPr="00F6355D">
        <w:t>ive</w:t>
      </w:r>
      <w:r w:rsidR="000375CC" w:rsidRPr="00F6355D">
        <w:t xml:space="preserve"> court find the same. </w:t>
      </w:r>
      <w:r w:rsidR="00C44E56" w:rsidRPr="00F6355D">
        <w:t xml:space="preserve">Judge Claire Eagan </w:t>
      </w:r>
      <w:r w:rsidR="004975BE" w:rsidRPr="00F6355D">
        <w:t xml:space="preserve">wrote in no uncertain language, “The Production of telephone service provider metadata is squarely controlled by the U.S. Supreme Court decision </w:t>
      </w:r>
      <w:r w:rsidR="004975BE" w:rsidRPr="00F6355D">
        <w:rPr>
          <w:i/>
        </w:rPr>
        <w:t>Smith v. Maryland</w:t>
      </w:r>
      <w:r w:rsidR="0000387C" w:rsidRPr="00F6355D">
        <w:t xml:space="preserve">.” </w:t>
      </w:r>
      <w:r w:rsidR="005632B0">
        <w:t xml:space="preserve">(internal citation omitted). </w:t>
      </w:r>
      <w:r w:rsidR="00820B28" w:rsidRPr="00F6355D">
        <w:t xml:space="preserve">This is the only basis upon which </w:t>
      </w:r>
      <w:r w:rsidR="00EB23BC">
        <w:t>Judge Eagan finds the c</w:t>
      </w:r>
      <w:r w:rsidR="00820B28" w:rsidRPr="00F6355D">
        <w:t xml:space="preserve">onstitutionality of the 215 Program in her brief </w:t>
      </w:r>
      <w:r w:rsidR="00971B1F" w:rsidRPr="00F6355D">
        <w:t>three-page</w:t>
      </w:r>
      <w:r w:rsidR="005632B0">
        <w:t xml:space="preserve"> treatment on</w:t>
      </w:r>
      <w:r w:rsidR="00820B28" w:rsidRPr="00F6355D">
        <w:t xml:space="preserve"> the subject</w:t>
      </w:r>
      <w:r w:rsidR="005632B0">
        <w:t xml:space="preserve"> of the Fourth Amendment</w:t>
      </w:r>
      <w:r w:rsidR="00D62487">
        <w:t>. She goes on</w:t>
      </w:r>
      <w:r w:rsidR="00820B28" w:rsidRPr="00F6355D">
        <w:t>,</w:t>
      </w:r>
      <w:r w:rsidR="0000387C" w:rsidRPr="00F6355D">
        <w:t xml:space="preserve"> </w:t>
      </w:r>
      <w:r w:rsidR="00820B28" w:rsidRPr="00F6355D">
        <w:t>“</w:t>
      </w:r>
      <w:r w:rsidR="0000387C" w:rsidRPr="00F6355D">
        <w:t>[T]he Supreme Court concluded that a person does not have a legitimate expectation of privacy in telephone numbers dialed and, therefore, when the government obtaine</w:t>
      </w:r>
      <w:r w:rsidR="00D62487">
        <w:t xml:space="preserve">d that dialing information, it </w:t>
      </w:r>
      <w:r w:rsidR="0000387C" w:rsidRPr="00F6355D">
        <w:t>was not a ‘searc</w:t>
      </w:r>
      <w:r w:rsidR="00D62487">
        <w:t>h,’ and no warrant was required</w:t>
      </w:r>
      <w:r w:rsidR="0000387C" w:rsidRPr="00F6355D">
        <w:t xml:space="preserve"> under the Fourth Amendment.</w:t>
      </w:r>
      <w:r w:rsidR="004975BE" w:rsidRPr="00F6355D">
        <w:t>”</w:t>
      </w:r>
      <w:r w:rsidR="00D62487">
        <w:t xml:space="preserve"> (internal quotations omitted).</w:t>
      </w:r>
      <w:r w:rsidR="004975BE" w:rsidRPr="00F6355D">
        <w:rPr>
          <w:rStyle w:val="FootnoteReference"/>
        </w:rPr>
        <w:footnoteReference w:id="15"/>
      </w:r>
      <w:r w:rsidR="004975BE" w:rsidRPr="00F6355D">
        <w:t xml:space="preserve"> </w:t>
      </w:r>
      <w:r w:rsidR="007D09B6" w:rsidRPr="00F6355D">
        <w:t xml:space="preserve">Note here that a discussion on whether or not the 215 Program could be considered a “seizure” under the Fourth Amendment didn’t enter into Judge Eagan’s analysis.  </w:t>
      </w:r>
      <w:r w:rsidR="006635EF">
        <w:t xml:space="preserve">Nor </w:t>
      </w:r>
      <w:r w:rsidR="00A2087C">
        <w:t>does she, or any other defender</w:t>
      </w:r>
      <w:r w:rsidR="006635EF">
        <w:t xml:space="preserve"> of the Program, contemplate the differences of the pen register</w:t>
      </w:r>
      <w:r w:rsidR="00A2087C">
        <w:t xml:space="preserve"> employed in </w:t>
      </w:r>
      <w:r w:rsidR="00A2087C">
        <w:rPr>
          <w:i/>
        </w:rPr>
        <w:t>Smith</w:t>
      </w:r>
      <w:r w:rsidR="006635EF">
        <w:t xml:space="preserve">, which </w:t>
      </w:r>
      <w:r w:rsidR="00D62487" w:rsidRPr="009E41EC">
        <w:rPr>
          <w:i/>
        </w:rPr>
        <w:t>only</w:t>
      </w:r>
      <w:r w:rsidR="006635EF">
        <w:t xml:space="preserve"> </w:t>
      </w:r>
      <w:r w:rsidR="00E012A3">
        <w:t>records</w:t>
      </w:r>
      <w:r w:rsidR="006635EF">
        <w:t xml:space="preserve"> the numbers dialed</w:t>
      </w:r>
      <w:r w:rsidR="00A2087C">
        <w:t xml:space="preserve"> without revealing </w:t>
      </w:r>
      <w:r w:rsidR="00E370F1">
        <w:t>whether or not</w:t>
      </w:r>
      <w:r w:rsidR="00A2087C">
        <w:t xml:space="preserve"> a connection was made</w:t>
      </w:r>
      <w:r w:rsidR="006635EF">
        <w:t xml:space="preserve">, and </w:t>
      </w:r>
      <w:r w:rsidR="00A2087C">
        <w:t xml:space="preserve">the </w:t>
      </w:r>
      <w:r w:rsidR="00E012A3">
        <w:t xml:space="preserve">collection of telephony metadata under the </w:t>
      </w:r>
      <w:r w:rsidR="00A2087C">
        <w:t xml:space="preserve">215 Program, which </w:t>
      </w:r>
      <w:r w:rsidR="0074712F">
        <w:t>date stamps and records information regarding</w:t>
      </w:r>
      <w:r w:rsidR="00E012A3">
        <w:t xml:space="preserve"> </w:t>
      </w:r>
      <w:r w:rsidR="006635EF">
        <w:t xml:space="preserve">the numbers dialed </w:t>
      </w:r>
      <w:r w:rsidR="00F97F3E">
        <w:t>and received</w:t>
      </w:r>
      <w:r w:rsidR="00294D5F">
        <w:t>,</w:t>
      </w:r>
      <w:r w:rsidR="00F97F3E">
        <w:t xml:space="preserve"> </w:t>
      </w:r>
      <w:r w:rsidR="006635EF">
        <w:t xml:space="preserve">and the duration of </w:t>
      </w:r>
      <w:r w:rsidR="00F97F3E">
        <w:t>both incoming and outgoing</w:t>
      </w:r>
      <w:r w:rsidR="006635EF">
        <w:t xml:space="preserve"> call</w:t>
      </w:r>
      <w:r w:rsidR="00F97F3E">
        <w:t>s</w:t>
      </w:r>
      <w:r w:rsidR="006635EF">
        <w:t>.</w:t>
      </w:r>
      <w:r w:rsidR="00A2087C">
        <w:t xml:space="preserve"> </w:t>
      </w:r>
      <w:r w:rsidR="00A91765">
        <w:t xml:space="preserve"> </w:t>
      </w:r>
      <w:r w:rsidR="00845D46">
        <w:t xml:space="preserve">This distinction is critical to our analysis here. For the pen register employed in </w:t>
      </w:r>
      <w:r w:rsidR="00845D46" w:rsidRPr="00D60376">
        <w:rPr>
          <w:i/>
        </w:rPr>
        <w:t>Smith</w:t>
      </w:r>
      <w:r w:rsidR="00845D46">
        <w:rPr>
          <w:i/>
        </w:rPr>
        <w:t xml:space="preserve"> </w:t>
      </w:r>
      <w:r w:rsidR="00845D46">
        <w:t xml:space="preserve">did not have the capabilities </w:t>
      </w:r>
      <w:r w:rsidR="003370E7">
        <w:t xml:space="preserve">necessary </w:t>
      </w:r>
      <w:r w:rsidR="00845D46">
        <w:t xml:space="preserve">to reveal the same type of personal information that </w:t>
      </w:r>
      <w:r w:rsidR="003370E7">
        <w:t>we find the</w:t>
      </w:r>
      <w:r w:rsidR="00845D46">
        <w:t xml:space="preserve"> 215 Program is able to capture. We can take, for example, a scenario where for a period of weeks or months the same number repeatedly called a target, but only after 11 p.m. and for short two or three-minute phone calls. Then </w:t>
      </w:r>
      <w:r w:rsidR="00A51505">
        <w:t xml:space="preserve">at some point </w:t>
      </w:r>
      <w:r w:rsidR="00845D46">
        <w:t xml:space="preserve">a record shows that the target </w:t>
      </w:r>
      <w:r w:rsidR="00A51505">
        <w:t xml:space="preserve">number </w:t>
      </w:r>
      <w:r w:rsidR="00845D46">
        <w:t xml:space="preserve">called a local gynecologist office, </w:t>
      </w:r>
      <w:r w:rsidR="00A51505">
        <w:t>perhaps</w:t>
      </w:r>
      <w:r w:rsidR="00845D46">
        <w:t xml:space="preserve"> to make an appointment for an examination. The analysts now know that the target number belongs to a female. The following week the target receives a call from the same gynecologist’s office and immediately thereafter has a long conversation with the late night caller after which she calls a facility that provides abortions. It is easy to see that developing and analyzing a pattern of calls allows the Government to glean information from data that taken singly would not reveal much at all. Under the construction established by the 215 Program, the Government is able to uncover much more than they would have were they only using a simple pen register.</w:t>
      </w:r>
    </w:p>
    <w:p w:rsidR="00F318D8" w:rsidRPr="00A2087C" w:rsidRDefault="00A2087C" w:rsidP="00A2087C">
      <w:pPr>
        <w:pStyle w:val="TOC3"/>
        <w:rPr>
          <w:u w:val="single"/>
        </w:rPr>
      </w:pPr>
      <w:r>
        <w:tab/>
      </w:r>
      <w:r>
        <w:tab/>
      </w:r>
      <w:r w:rsidRPr="00A2087C">
        <w:rPr>
          <w:u w:val="single"/>
        </w:rPr>
        <w:t>III.</w:t>
      </w:r>
      <w:r>
        <w:rPr>
          <w:u w:val="single"/>
        </w:rPr>
        <w:tab/>
        <w:t>Administration White Paper</w:t>
      </w:r>
    </w:p>
    <w:p w:rsidR="00270FD1" w:rsidRDefault="00F318D8" w:rsidP="00C3238D">
      <w:pPr>
        <w:spacing w:line="480" w:lineRule="auto"/>
        <w:jc w:val="both"/>
      </w:pPr>
      <w:r w:rsidRPr="00F6355D">
        <w:tab/>
        <w:t xml:space="preserve">The Obama Administration unsurprisingly took the same </w:t>
      </w:r>
      <w:r w:rsidRPr="00F6355D">
        <w:rPr>
          <w:i/>
        </w:rPr>
        <w:t>Smith</w:t>
      </w:r>
      <w:r w:rsidRPr="00F6355D">
        <w:t xml:space="preserve"> approach </w:t>
      </w:r>
      <w:r w:rsidR="009D27F1" w:rsidRPr="00F6355D">
        <w:t xml:space="preserve">as Judges Eagan and Pauley, </w:t>
      </w:r>
      <w:r w:rsidRPr="00F6355D">
        <w:t xml:space="preserve">but also went a bit farther in </w:t>
      </w:r>
      <w:r w:rsidR="003470D6">
        <w:t>its</w:t>
      </w:r>
      <w:r w:rsidRPr="00F6355D">
        <w:t xml:space="preserve"> ass</w:t>
      </w:r>
      <w:r w:rsidR="00EB23BC">
        <w:t>ertion that the 215 Program is c</w:t>
      </w:r>
      <w:r w:rsidRPr="00F6355D">
        <w:t>onsti</w:t>
      </w:r>
      <w:r w:rsidR="004B1602">
        <w:t xml:space="preserve">tutional. </w:t>
      </w:r>
      <w:r w:rsidR="008C508D" w:rsidRPr="00F6355D">
        <w:t>I</w:t>
      </w:r>
      <w:r w:rsidR="009D27F1" w:rsidRPr="00F6355D">
        <w:t>n a white paper dated August 9, 2013</w:t>
      </w:r>
      <w:r w:rsidR="004B1602">
        <w:t>, the Administration found that “[a]</w:t>
      </w:r>
      <w:r w:rsidR="009D27F1" w:rsidRPr="00F6355D">
        <w:t xml:space="preserve"> section 215 order for the production of telephony metadata is not a ‘search’ as to any individual because, as the Supreme Court has expressly held, participants in telephone calls lack any reasonable expectation of privacy under the Fourth Amendment in the telephone numbers dialed.”</w:t>
      </w:r>
      <w:r w:rsidR="009D27F1" w:rsidRPr="00F6355D">
        <w:rPr>
          <w:rStyle w:val="FootnoteReference"/>
        </w:rPr>
        <w:footnoteReference w:id="16"/>
      </w:r>
      <w:r w:rsidR="009D27F1" w:rsidRPr="00F6355D">
        <w:t xml:space="preserve"> </w:t>
      </w:r>
      <w:r w:rsidR="00282181">
        <w:t>Interestingly, t</w:t>
      </w:r>
      <w:r w:rsidR="003733EF">
        <w:t xml:space="preserve">he white paper did not find the search component altered by the scale of the Program. </w:t>
      </w:r>
      <w:r w:rsidR="00282181">
        <w:t xml:space="preserve">Stating, “Collection of telephony </w:t>
      </w:r>
      <w:r w:rsidR="002E358E">
        <w:t>metadata in b</w:t>
      </w:r>
      <w:r w:rsidR="00282181">
        <w:t>u</w:t>
      </w:r>
      <w:r w:rsidR="002E358E">
        <w:t>l</w:t>
      </w:r>
      <w:r w:rsidR="00282181">
        <w:t>k from telecommunications service providers under</w:t>
      </w:r>
      <w:r w:rsidR="002E358E">
        <w:t xml:space="preserve"> the program does not inv</w:t>
      </w:r>
      <w:r w:rsidR="00282181">
        <w:t xml:space="preserve">olve searching the </w:t>
      </w:r>
      <w:r w:rsidR="00282181" w:rsidRPr="00774C94">
        <w:t>property</w:t>
      </w:r>
      <w:r w:rsidR="00282181">
        <w:t xml:space="preserve"> of persons making telephone calls. And the volume of records does not conv</w:t>
      </w:r>
      <w:r w:rsidR="007F77D7">
        <w:t>ert that activity into a search . . . No Fourth Amendment-protected inter</w:t>
      </w:r>
      <w:r w:rsidR="002E358E">
        <w:t>e</w:t>
      </w:r>
      <w:r w:rsidR="007F77D7">
        <w:t>st is generated by virtue of the fact that the telephony metadata re</w:t>
      </w:r>
      <w:r w:rsidR="002E358E">
        <w:t>c</w:t>
      </w:r>
      <w:r w:rsidR="007F77D7">
        <w:t>ords of many individuals are collected rather than those of a single individual.”</w:t>
      </w:r>
      <w:r w:rsidR="007F77D7">
        <w:rPr>
          <w:rStyle w:val="FootnoteReference"/>
        </w:rPr>
        <w:footnoteReference w:id="17"/>
      </w:r>
      <w:r w:rsidR="007F77D7">
        <w:t xml:space="preserve"> </w:t>
      </w:r>
      <w:r w:rsidR="005274DC">
        <w:t>Perhaps this is true. But how does the scale of collec</w:t>
      </w:r>
      <w:r w:rsidR="00C03D62">
        <w:t>tion apply to the individual?</w:t>
      </w:r>
      <w:r w:rsidR="005274DC">
        <w:t xml:space="preserve"> </w:t>
      </w:r>
      <w:r w:rsidR="00C03D62">
        <w:t>A program of collecting t</w:t>
      </w:r>
      <w:r w:rsidR="005274DC">
        <w:t xml:space="preserve">elephony metadata has </w:t>
      </w:r>
      <w:r w:rsidR="00582A92">
        <w:t>existed</w:t>
      </w:r>
      <w:r w:rsidR="005274DC">
        <w:t xml:space="preserve"> for a period of at least </w:t>
      </w:r>
      <w:r w:rsidR="003A093D">
        <w:t>eight</w:t>
      </w:r>
      <w:r w:rsidR="005274DC">
        <w:t xml:space="preserve"> years </w:t>
      </w:r>
      <w:r w:rsidR="00582A92">
        <w:t xml:space="preserve">since Section 215 was first used as a legal basis in 2006 </w:t>
      </w:r>
      <w:r w:rsidR="00270FD1">
        <w:t>for the Program. Prior to that,</w:t>
      </w:r>
      <w:r w:rsidR="00582A92">
        <w:t xml:space="preserve"> </w:t>
      </w:r>
      <w:r w:rsidR="003A093D">
        <w:t>metadata collection</w:t>
      </w:r>
      <w:r w:rsidR="00270FD1">
        <w:t xml:space="preserve"> was conducted under a highly classified directive issued by President George W. Bush in October 2001 </w:t>
      </w:r>
      <w:r w:rsidR="00540F3C">
        <w:t>following</w:t>
      </w:r>
      <w:r w:rsidR="00270FD1">
        <w:t xml:space="preserve"> the September 11 attacks. </w:t>
      </w:r>
      <w:r w:rsidR="00610F8C">
        <w:t>This authorization directed</w:t>
      </w:r>
      <w:r w:rsidR="00270FD1">
        <w:t xml:space="preserve"> the NSA to collect the contents of certain international communications and </w:t>
      </w:r>
      <w:r w:rsidR="00610F8C">
        <w:t xml:space="preserve">non-content information such as telephony and </w:t>
      </w:r>
      <w:r w:rsidR="003A093D">
        <w:t>Internet</w:t>
      </w:r>
      <w:r w:rsidR="00610F8C">
        <w:t xml:space="preserve"> metadata.</w:t>
      </w:r>
      <w:r w:rsidR="00610F8C">
        <w:rPr>
          <w:rStyle w:val="FootnoteReference"/>
        </w:rPr>
        <w:footnoteReference w:id="18"/>
      </w:r>
    </w:p>
    <w:p w:rsidR="00774C94" w:rsidRDefault="00774C94" w:rsidP="00C3238D">
      <w:pPr>
        <w:spacing w:line="480" w:lineRule="auto"/>
        <w:jc w:val="both"/>
      </w:pPr>
      <w:r>
        <w:tab/>
      </w:r>
      <w:r w:rsidR="00D92A70" w:rsidRPr="00F6355D">
        <w:t xml:space="preserve">The </w:t>
      </w:r>
      <w:r w:rsidR="003470D6">
        <w:t>Administration goes on to</w:t>
      </w:r>
      <w:r w:rsidR="00D92A70" w:rsidRPr="00F6355D">
        <w:t xml:space="preserve"> </w:t>
      </w:r>
      <w:r w:rsidR="003470D6">
        <w:t>defend</w:t>
      </w:r>
      <w:r w:rsidR="004B1602">
        <w:t xml:space="preserve"> the 215 Program </w:t>
      </w:r>
      <w:r w:rsidR="007C4C69">
        <w:t>under the</w:t>
      </w:r>
      <w:r w:rsidR="00D92A70" w:rsidRPr="00F6355D">
        <w:t xml:space="preserve"> “reasonableness” standard, which </w:t>
      </w:r>
      <w:r w:rsidR="002E39CE" w:rsidRPr="00F6355D">
        <w:t>requires</w:t>
      </w:r>
      <w:r w:rsidR="00D92A70" w:rsidRPr="00F6355D">
        <w:t>, “a balancing of ‘the promotion of legitimate Governmental interests against the degree to which [the search] intrudes upon an individual’s privacy’.”</w:t>
      </w:r>
      <w:r w:rsidR="00D92A70" w:rsidRPr="00F6355D">
        <w:rPr>
          <w:rStyle w:val="FootnoteReference"/>
        </w:rPr>
        <w:footnoteReference w:id="19"/>
      </w:r>
      <w:r w:rsidR="002E39CE" w:rsidRPr="00F6355D">
        <w:t xml:space="preserve"> </w:t>
      </w:r>
      <w:r w:rsidR="0050714A">
        <w:t>Further, i</w:t>
      </w:r>
      <w:r w:rsidR="002E39CE" w:rsidRPr="00F6355D">
        <w:t>n th</w:t>
      </w:r>
      <w:r w:rsidR="003733EF">
        <w:t>e Government’s view</w:t>
      </w:r>
      <w:r w:rsidR="0050714A">
        <w:t>,</w:t>
      </w:r>
      <w:r w:rsidR="002E39CE" w:rsidRPr="00F6355D">
        <w:t xml:space="preserve"> </w:t>
      </w:r>
      <w:r w:rsidR="003865E7">
        <w:t>even if the 215 Program did in</w:t>
      </w:r>
      <w:r w:rsidR="002E358E">
        <w:t>v</w:t>
      </w:r>
      <w:r w:rsidR="003865E7">
        <w:t>olve a search under the meaning of the Fourth Amendment, “that search would satisfy the reasonableness standard that the Supreme Court has established in its cases authorizing the Government to conduct large-scale, but minimally intrusive, su</w:t>
      </w:r>
      <w:r w:rsidR="002E358E">
        <w:t>spicionless searches.”</w:t>
      </w:r>
      <w:r w:rsidR="002E358E">
        <w:rPr>
          <w:rStyle w:val="FootnoteReference"/>
        </w:rPr>
        <w:footnoteReference w:id="20"/>
      </w:r>
      <w:r w:rsidR="002E358E">
        <w:t xml:space="preserve"> </w:t>
      </w:r>
    </w:p>
    <w:p w:rsidR="000A048F" w:rsidRDefault="00774C94" w:rsidP="00C3238D">
      <w:pPr>
        <w:spacing w:line="480" w:lineRule="auto"/>
        <w:jc w:val="both"/>
      </w:pPr>
      <w:r>
        <w:tab/>
      </w:r>
      <w:r w:rsidR="007E2037">
        <w:t xml:space="preserve">Also taken into consideration in this </w:t>
      </w:r>
      <w:r w:rsidR="00B52ABA">
        <w:t>Administration white paper is the “exceedingly important objective” of “forward-looking prevention of the loss of life, including potentially on a catastrophic scale.”</w:t>
      </w:r>
      <w:r w:rsidR="00B52ABA">
        <w:rPr>
          <w:rStyle w:val="FootnoteReference"/>
        </w:rPr>
        <w:footnoteReference w:id="21"/>
      </w:r>
      <w:r w:rsidR="006C7160">
        <w:t xml:space="preserve">  </w:t>
      </w:r>
      <w:r w:rsidR="00C27223">
        <w:t xml:space="preserve"> </w:t>
      </w:r>
      <w:r w:rsidR="00147EE7">
        <w:t>Here, the Government has balanced the “minimal, if any, Fourth Amendment i</w:t>
      </w:r>
      <w:r w:rsidR="000A048F">
        <w:t xml:space="preserve">ntrusion” against the </w:t>
      </w:r>
      <w:r w:rsidR="00C27223">
        <w:t>“exceptionally strong public interest in the prevention of terrorist attacks”</w:t>
      </w:r>
      <w:r w:rsidR="00C27223">
        <w:rPr>
          <w:rStyle w:val="FootnoteReference"/>
        </w:rPr>
        <w:footnoteReference w:id="22"/>
      </w:r>
      <w:r w:rsidR="000A048F">
        <w:t xml:space="preserve"> and found in favor of continuing the 215 Program. </w:t>
      </w:r>
    </w:p>
    <w:p w:rsidR="003470D6" w:rsidRDefault="00F36A1A" w:rsidP="00C3238D">
      <w:pPr>
        <w:spacing w:line="480" w:lineRule="auto"/>
        <w:jc w:val="both"/>
      </w:pPr>
      <w:r>
        <w:tab/>
      </w:r>
      <w:r w:rsidR="00D31EA4">
        <w:t xml:space="preserve">The balance, however, has recently tipped in the other direction. </w:t>
      </w:r>
      <w:r w:rsidR="004416BD">
        <w:t>The</w:t>
      </w:r>
      <w:r>
        <w:t xml:space="preserve"> majority of Americans disapprove of </w:t>
      </w:r>
      <w:r w:rsidR="006D5F86">
        <w:t>Governmental</w:t>
      </w:r>
      <w:r>
        <w:t xml:space="preserve"> </w:t>
      </w:r>
      <w:r w:rsidR="004416BD">
        <w:t xml:space="preserve">metadata </w:t>
      </w:r>
      <w:r>
        <w:t>collection and</w:t>
      </w:r>
      <w:r w:rsidR="00E316C3">
        <w:t xml:space="preserve"> </w:t>
      </w:r>
      <w:r w:rsidR="00D31EA4">
        <w:t>a number of</w:t>
      </w:r>
      <w:r w:rsidR="00E316C3">
        <w:t xml:space="preserve"> experts </w:t>
      </w:r>
      <w:r w:rsidR="00D31EA4">
        <w:t xml:space="preserve">have found </w:t>
      </w:r>
      <w:r>
        <w:t xml:space="preserve">that the Program has </w:t>
      </w:r>
      <w:r w:rsidR="00E316C3">
        <w:t>provided limit</w:t>
      </w:r>
      <w:r w:rsidR="00D31EA4">
        <w:t>ed value in the ongoing effort to secure</w:t>
      </w:r>
      <w:r w:rsidR="00E316C3">
        <w:t xml:space="preserve"> </w:t>
      </w:r>
      <w:r w:rsidR="00D31EA4">
        <w:t>our nation</w:t>
      </w:r>
      <w:r w:rsidR="00376FFA">
        <w:t>.</w:t>
      </w:r>
      <w:r w:rsidR="004416BD">
        <w:rPr>
          <w:rStyle w:val="FootnoteReference"/>
        </w:rPr>
        <w:footnoteReference w:id="23"/>
      </w:r>
      <w:r w:rsidR="00376FFA">
        <w:t xml:space="preserve"> </w:t>
      </w:r>
      <w:r w:rsidR="002E7838">
        <w:t xml:space="preserve">As a result of these revelations, </w:t>
      </w:r>
      <w:r w:rsidR="00295ED9">
        <w:t xml:space="preserve">President Obama is preparing legislation </w:t>
      </w:r>
      <w:r w:rsidR="00376FFA">
        <w:t xml:space="preserve">to end the </w:t>
      </w:r>
      <w:r w:rsidR="00E72438">
        <w:t xml:space="preserve">practice of </w:t>
      </w:r>
      <w:r w:rsidR="00376FFA">
        <w:t xml:space="preserve">bulk metadata </w:t>
      </w:r>
      <w:r w:rsidR="00A96A16">
        <w:t>collection</w:t>
      </w:r>
      <w:r w:rsidR="00376FFA">
        <w:t xml:space="preserve"> as </w:t>
      </w:r>
      <w:r w:rsidR="00295ED9">
        <w:t xml:space="preserve">it </w:t>
      </w:r>
      <w:r w:rsidR="002E7838">
        <w:t>exists</w:t>
      </w:r>
      <w:r w:rsidR="00295ED9">
        <w:t xml:space="preserve"> today</w:t>
      </w:r>
      <w:r w:rsidR="002E7838">
        <w:t>.</w:t>
      </w:r>
      <w:r w:rsidR="00A76599">
        <w:rPr>
          <w:rStyle w:val="FootnoteReference"/>
        </w:rPr>
        <w:footnoteReference w:id="24"/>
      </w:r>
      <w:r w:rsidR="002E7838">
        <w:t xml:space="preserve"> </w:t>
      </w:r>
      <w:r w:rsidR="00FB4A6E">
        <w:t>T</w:t>
      </w:r>
      <w:r w:rsidR="00D76BF5">
        <w:t xml:space="preserve">he </w:t>
      </w:r>
      <w:r w:rsidR="00FB4A6E">
        <w:t>working proposal</w:t>
      </w:r>
      <w:r w:rsidR="00E910AB">
        <w:t>,</w:t>
      </w:r>
      <w:r w:rsidR="001701C4">
        <w:t xml:space="preserve"> which has</w:t>
      </w:r>
      <w:r w:rsidR="00FB4A6E">
        <w:t xml:space="preserve"> </w:t>
      </w:r>
      <w:r w:rsidR="001701C4">
        <w:t>yet to go through Congressional approval</w:t>
      </w:r>
      <w:r w:rsidR="00E910AB">
        <w:t>,</w:t>
      </w:r>
      <w:r w:rsidR="001701C4">
        <w:t xml:space="preserve"> </w:t>
      </w:r>
      <w:r w:rsidR="00FB4A6E">
        <w:t xml:space="preserve">will </w:t>
      </w:r>
      <w:r w:rsidR="00E910AB">
        <w:t>end the NSA</w:t>
      </w:r>
      <w:r w:rsidR="00A51C79">
        <w:t>’s</w:t>
      </w:r>
      <w:r w:rsidR="00E910AB">
        <w:t xml:space="preserve"> practice of systematic collection and storage of Americans’ calling data</w:t>
      </w:r>
      <w:r w:rsidR="00372127">
        <w:t>.</w:t>
      </w:r>
      <w:r w:rsidR="00D76BF5">
        <w:t xml:space="preserve"> </w:t>
      </w:r>
      <w:r w:rsidR="00372127">
        <w:t>T</w:t>
      </w:r>
      <w:r w:rsidR="00E72438">
        <w:t>elecommunication</w:t>
      </w:r>
      <w:r w:rsidR="008D739A">
        <w:t xml:space="preserve"> companies</w:t>
      </w:r>
      <w:r w:rsidR="002C29B3">
        <w:t xml:space="preserve"> will </w:t>
      </w:r>
      <w:r w:rsidR="00372127">
        <w:t xml:space="preserve">continue to collect and hold </w:t>
      </w:r>
      <w:r w:rsidR="0003384B">
        <w:t>calling</w:t>
      </w:r>
      <w:r w:rsidR="00372127">
        <w:t xml:space="preserve"> information as they normally would for business purposes but will </w:t>
      </w:r>
      <w:r w:rsidR="002C29B3">
        <w:t xml:space="preserve">not be required to </w:t>
      </w:r>
      <w:r w:rsidR="00372127">
        <w:t>retain</w:t>
      </w:r>
      <w:r w:rsidR="002C29B3">
        <w:t xml:space="preserve"> such information any longer than </w:t>
      </w:r>
      <w:r w:rsidR="00D068F9">
        <w:t xml:space="preserve">the eighteen months </w:t>
      </w:r>
      <w:r w:rsidR="002C29B3">
        <w:t xml:space="preserve">currently </w:t>
      </w:r>
      <w:r w:rsidR="001701C4">
        <w:t>mandated</w:t>
      </w:r>
      <w:r w:rsidR="002C29B3">
        <w:t xml:space="preserve"> by </w:t>
      </w:r>
      <w:r w:rsidR="00D068F9">
        <w:t xml:space="preserve">federal </w:t>
      </w:r>
      <w:r w:rsidR="002C29B3">
        <w:t>law</w:t>
      </w:r>
      <w:r w:rsidR="008D739A">
        <w:t xml:space="preserve">. </w:t>
      </w:r>
      <w:r w:rsidR="00A65710">
        <w:t>The intelligence community will</w:t>
      </w:r>
      <w:r w:rsidR="008F5D92">
        <w:t xml:space="preserve"> </w:t>
      </w:r>
      <w:r w:rsidR="00A65710">
        <w:t xml:space="preserve">retain their </w:t>
      </w:r>
      <w:r w:rsidR="008F5D92">
        <w:t>capability</w:t>
      </w:r>
      <w:r w:rsidR="00A65710">
        <w:t xml:space="preserve"> </w:t>
      </w:r>
      <w:r w:rsidR="00FC47F7">
        <w:t xml:space="preserve">of analyzing links between callers </w:t>
      </w:r>
      <w:r w:rsidR="00A65710">
        <w:t>by</w:t>
      </w:r>
      <w:r w:rsidR="004F0ED6">
        <w:t xml:space="preserve"> </w:t>
      </w:r>
      <w:r w:rsidR="00A65710">
        <w:t xml:space="preserve">moving </w:t>
      </w:r>
      <w:r w:rsidR="00454157">
        <w:t>to</w:t>
      </w:r>
      <w:r w:rsidR="004F0ED6">
        <w:t xml:space="preserve"> </w:t>
      </w:r>
      <w:r w:rsidR="00A65710">
        <w:t xml:space="preserve">individualized </w:t>
      </w:r>
      <w:r w:rsidR="007D254A">
        <w:t xml:space="preserve">and </w:t>
      </w:r>
      <w:r w:rsidR="00914098">
        <w:t xml:space="preserve">targeted </w:t>
      </w:r>
      <w:r w:rsidR="00FB4A6E">
        <w:t>metadata collection</w:t>
      </w:r>
      <w:r w:rsidR="00A65710">
        <w:t xml:space="preserve"> </w:t>
      </w:r>
      <w:r w:rsidR="0003384B">
        <w:t>wherein</w:t>
      </w:r>
      <w:r w:rsidR="004F0ED6">
        <w:t xml:space="preserve"> </w:t>
      </w:r>
      <w:r w:rsidR="0003384B">
        <w:t>each</w:t>
      </w:r>
      <w:r w:rsidR="004F0ED6">
        <w:t xml:space="preserve"> </w:t>
      </w:r>
      <w:r w:rsidR="00D76BF5">
        <w:t>identified telephone number of interest</w:t>
      </w:r>
      <w:r w:rsidR="004F0ED6">
        <w:t xml:space="preserve"> </w:t>
      </w:r>
      <w:r w:rsidR="00A65710">
        <w:t xml:space="preserve">will </w:t>
      </w:r>
      <w:r w:rsidR="00F83375">
        <w:t xml:space="preserve">require </w:t>
      </w:r>
      <w:r w:rsidR="00874307">
        <w:t>a new</w:t>
      </w:r>
      <w:r w:rsidR="00914098">
        <w:t xml:space="preserve"> kind of court order issued by the</w:t>
      </w:r>
      <w:r w:rsidR="00874307">
        <w:t xml:space="preserve"> </w:t>
      </w:r>
      <w:r w:rsidR="004F0ED6">
        <w:t>FISC</w:t>
      </w:r>
      <w:r w:rsidR="00454157">
        <w:t xml:space="preserve">. Once such a target is identified and approved for surveillance, </w:t>
      </w:r>
      <w:r w:rsidR="00F83375">
        <w:t>telecommunication companies will provide telephony metadata</w:t>
      </w:r>
      <w:r w:rsidR="00454157">
        <w:t xml:space="preserve"> to the </w:t>
      </w:r>
      <w:r w:rsidR="00F83375">
        <w:t xml:space="preserve">appropriate </w:t>
      </w:r>
      <w:r w:rsidR="00454157">
        <w:t xml:space="preserve">intelligence </w:t>
      </w:r>
      <w:r w:rsidR="00F83375">
        <w:t xml:space="preserve">agency </w:t>
      </w:r>
      <w:r w:rsidR="00454157">
        <w:t xml:space="preserve">on an ongoing </w:t>
      </w:r>
      <w:r w:rsidR="003C5163">
        <w:t xml:space="preserve">daily </w:t>
      </w:r>
      <w:r w:rsidR="00454157">
        <w:t>basis</w:t>
      </w:r>
      <w:r w:rsidR="008F5D92">
        <w:t xml:space="preserve"> along with any numbers within two hops of the original target</w:t>
      </w:r>
      <w:r w:rsidR="00454157">
        <w:t xml:space="preserve">. </w:t>
      </w:r>
    </w:p>
    <w:p w:rsidR="00EF5421" w:rsidRPr="00442588" w:rsidRDefault="003470D6" w:rsidP="003470D6">
      <w:pPr>
        <w:pStyle w:val="TOC3"/>
        <w:rPr>
          <w:u w:val="single"/>
        </w:rPr>
      </w:pPr>
      <w:r>
        <w:tab/>
      </w:r>
      <w:r>
        <w:tab/>
      </w:r>
      <w:r w:rsidRPr="00442588">
        <w:rPr>
          <w:u w:val="single"/>
        </w:rPr>
        <w:t>IV</w:t>
      </w:r>
      <w:r w:rsidR="00442588" w:rsidRPr="00442588">
        <w:rPr>
          <w:u w:val="single"/>
        </w:rPr>
        <w:t>.</w:t>
      </w:r>
      <w:r w:rsidR="00442588">
        <w:rPr>
          <w:u w:val="single"/>
        </w:rPr>
        <w:tab/>
        <w:t>Klayman v. Obama</w:t>
      </w:r>
    </w:p>
    <w:p w:rsidR="00327B2B" w:rsidRDefault="00C6109B" w:rsidP="00C3238D">
      <w:pPr>
        <w:spacing w:line="480" w:lineRule="auto"/>
        <w:jc w:val="both"/>
      </w:pPr>
      <w:r w:rsidRPr="00F6355D">
        <w:tab/>
        <w:t xml:space="preserve">Judge Leon, of the </w:t>
      </w:r>
      <w:r w:rsidR="00442588">
        <w:t xml:space="preserve">U.S. </w:t>
      </w:r>
      <w:r w:rsidRPr="00F6355D">
        <w:t xml:space="preserve">District Court of the District of Columbia, in </w:t>
      </w:r>
      <w:r w:rsidRPr="000D191B">
        <w:rPr>
          <w:i/>
        </w:rPr>
        <w:t>Klayman</w:t>
      </w:r>
      <w:r w:rsidRPr="00F6355D">
        <w:t xml:space="preserve"> </w:t>
      </w:r>
      <w:r w:rsidR="00132451" w:rsidRPr="00F6355D">
        <w:t>questioned</w:t>
      </w:r>
      <w:r w:rsidRPr="00F6355D">
        <w:t xml:space="preserve"> the relevance of </w:t>
      </w:r>
      <w:r w:rsidRPr="00F6355D">
        <w:rPr>
          <w:i/>
        </w:rPr>
        <w:t>Smith</w:t>
      </w:r>
      <w:r w:rsidR="00132451" w:rsidRPr="00F6355D">
        <w:rPr>
          <w:i/>
        </w:rPr>
        <w:t xml:space="preserve"> </w:t>
      </w:r>
      <w:r w:rsidR="00132451" w:rsidRPr="00F6355D">
        <w:t>in 21</w:t>
      </w:r>
      <w:r w:rsidR="00132451" w:rsidRPr="00F6355D">
        <w:rPr>
          <w:vertAlign w:val="superscript"/>
        </w:rPr>
        <w:t>st</w:t>
      </w:r>
      <w:r w:rsidR="00132451" w:rsidRPr="00F6355D">
        <w:t xml:space="preserve"> Century communication</w:t>
      </w:r>
      <w:r w:rsidR="000D191B">
        <w:t>. Leon’s findings were antithetical to those of Judge Pauley, the FISC and the Government; he wrote</w:t>
      </w:r>
      <w:r w:rsidRPr="00F6355D">
        <w:t xml:space="preserve">, “I am convinced that the surveillance program now before me is so different from a simple pen register that </w:t>
      </w:r>
      <w:r w:rsidRPr="00F6355D">
        <w:rPr>
          <w:i/>
        </w:rPr>
        <w:t>Smith</w:t>
      </w:r>
      <w:r w:rsidRPr="00F6355D">
        <w:t xml:space="preserve"> is of little value in assessing whether the Bulk Telephony Metadata Program constitutes a Fourth Amendment search.” Leon goes on to list the following reasons t</w:t>
      </w:r>
      <w:r w:rsidR="009D2463">
        <w:t>o account for those differences:</w:t>
      </w:r>
      <w:r w:rsidRPr="00F6355D">
        <w:t xml:space="preserve"> </w:t>
      </w:r>
    </w:p>
    <w:p w:rsidR="00A04B5C" w:rsidRDefault="00C6109B" w:rsidP="00327B2B">
      <w:pPr>
        <w:ind w:left="720" w:right="720"/>
        <w:jc w:val="both"/>
      </w:pPr>
      <w:r w:rsidRPr="00F6355D">
        <w:t>The short-term, forward-looking (as opp</w:t>
      </w:r>
      <w:r w:rsidR="00442588">
        <w:t>osed to historical), and highly</w:t>
      </w:r>
      <w:r w:rsidRPr="00F6355D">
        <w:t xml:space="preserve">–limited data collection is what the Supreme Court was assessing in </w:t>
      </w:r>
      <w:r w:rsidRPr="00F6355D">
        <w:rPr>
          <w:i/>
        </w:rPr>
        <w:t>Smith</w:t>
      </w:r>
      <w:r w:rsidRPr="00F6355D">
        <w:t xml:space="preserve">. The NSA telephony metadata program, on the other hand, involves the creation and maintenance of a historical database containing </w:t>
      </w:r>
      <w:r w:rsidRPr="00F6355D">
        <w:rPr>
          <w:i/>
        </w:rPr>
        <w:t>five years’</w:t>
      </w:r>
      <w:r w:rsidRPr="00F6355D">
        <w:t xml:space="preserve"> worth of data . . . Second, the relationship between the police and the phone company in </w:t>
      </w:r>
      <w:r w:rsidRPr="00F6355D">
        <w:rPr>
          <w:i/>
        </w:rPr>
        <w:t>Smith</w:t>
      </w:r>
      <w:r w:rsidRPr="00F6355D">
        <w:t xml:space="preserve"> is nothing compared to the relationship that has apparently evolved over the last seven years between the Government and telecom companies . . . It’s one thing to say that people expect phone companies to occasionally provide information to law enforcement; it is quite another to suggest that our citizens expect all phone companies to operate what is effectively a joint intelligence-gathering operation with the Government. Third, the almost-Orwellian technology that enables the Government to store and analyze the phone metadata of every telephone user in the United States is unlike anything that could have been conceived in 1979 . . . Finally, </w:t>
      </w:r>
      <w:r w:rsidRPr="00F6355D">
        <w:rPr>
          <w:i/>
        </w:rPr>
        <w:t xml:space="preserve">and most importantly, </w:t>
      </w:r>
      <w:r w:rsidRPr="00F6355D">
        <w:t>not only is the Government’s ability to collect, store, and analyze phone data greater now than it was in 1979, but the nature and quantity of the information contained in people’s telephony met</w:t>
      </w:r>
      <w:r w:rsidR="00327B2B">
        <w:t>adata is much greater, as well.</w:t>
      </w:r>
      <w:r w:rsidR="00132451" w:rsidRPr="00F6355D">
        <w:t xml:space="preserve"> (emphasis</w:t>
      </w:r>
      <w:r w:rsidR="00A04B5C">
        <w:t xml:space="preserve"> in original</w:t>
      </w:r>
      <w:r w:rsidR="00132451" w:rsidRPr="00F6355D">
        <w:t>)</w:t>
      </w:r>
      <w:r w:rsidR="000B1824">
        <w:t>.</w:t>
      </w:r>
      <w:r w:rsidRPr="00F6355D">
        <w:rPr>
          <w:rStyle w:val="FootnoteReference"/>
        </w:rPr>
        <w:footnoteReference w:id="25"/>
      </w:r>
      <w:r w:rsidRPr="00F6355D">
        <w:t xml:space="preserve"> </w:t>
      </w:r>
    </w:p>
    <w:p w:rsidR="00A04B5C" w:rsidRDefault="00A04B5C" w:rsidP="00327B2B">
      <w:pPr>
        <w:ind w:left="720" w:right="720"/>
        <w:jc w:val="both"/>
      </w:pPr>
    </w:p>
    <w:p w:rsidR="003755F1" w:rsidRPr="005A6235" w:rsidRDefault="00A04B5C" w:rsidP="00A04B5C">
      <w:pPr>
        <w:tabs>
          <w:tab w:val="left" w:pos="8640"/>
        </w:tabs>
        <w:spacing w:line="480" w:lineRule="auto"/>
        <w:jc w:val="both"/>
      </w:pPr>
      <w:r>
        <w:t xml:space="preserve">Much like Judge Pauley, Judge </w:t>
      </w:r>
      <w:r w:rsidR="006B110E">
        <w:t>Leon</w:t>
      </w:r>
      <w:r w:rsidR="00C6109B" w:rsidRPr="00F6355D">
        <w:t xml:space="preserve"> </w:t>
      </w:r>
      <w:r w:rsidR="006B110E">
        <w:t>agrees</w:t>
      </w:r>
      <w:r w:rsidR="00C6109B" w:rsidRPr="00F6355D">
        <w:t xml:space="preserve"> that metadata </w:t>
      </w:r>
      <w:r>
        <w:t xml:space="preserve">itself </w:t>
      </w:r>
      <w:r w:rsidR="00C6109B" w:rsidRPr="00F6355D">
        <w:t xml:space="preserve">is not changed since the 1970s, but adds “the ubiquity of phones has dramatically altered the </w:t>
      </w:r>
      <w:r w:rsidR="00C6109B" w:rsidRPr="00F6355D">
        <w:rPr>
          <w:i/>
        </w:rPr>
        <w:t>quantity</w:t>
      </w:r>
      <w:r w:rsidR="00C6109B" w:rsidRPr="00F6355D">
        <w:t xml:space="preserve"> of information that is now available and, </w:t>
      </w:r>
      <w:r w:rsidR="00C6109B" w:rsidRPr="00F6355D">
        <w:rPr>
          <w:i/>
        </w:rPr>
        <w:t>more importantly</w:t>
      </w:r>
      <w:r w:rsidR="00C6109B" w:rsidRPr="00F6355D">
        <w:t>, what that information can tell the G</w:t>
      </w:r>
      <w:r w:rsidR="00327B2B">
        <w:t>overnment about people’s lives.</w:t>
      </w:r>
      <w:r>
        <w:t>”</w:t>
      </w:r>
      <w:r w:rsidR="00132451" w:rsidRPr="00F6355D">
        <w:t xml:space="preserve"> (emphasis</w:t>
      </w:r>
      <w:r w:rsidR="009743F7" w:rsidRPr="00F6355D">
        <w:t xml:space="preserve"> in original</w:t>
      </w:r>
      <w:r w:rsidR="00132451" w:rsidRPr="00F6355D">
        <w:t>)</w:t>
      </w:r>
      <w:r w:rsidR="009743F7" w:rsidRPr="00F6355D">
        <w:t>.</w:t>
      </w:r>
      <w:r w:rsidR="00C6109B" w:rsidRPr="00F6355D">
        <w:rPr>
          <w:rStyle w:val="FootnoteReference"/>
        </w:rPr>
        <w:footnoteReference w:id="26"/>
      </w:r>
      <w:r w:rsidR="005A6235">
        <w:t xml:space="preserve"> </w:t>
      </w:r>
      <w:r w:rsidR="001F0EE0">
        <w:t xml:space="preserve">Leon eloquently </w:t>
      </w:r>
      <w:r w:rsidR="00CF7877">
        <w:t>writes</w:t>
      </w:r>
      <w:r w:rsidR="001F0EE0">
        <w:t>, “</w:t>
      </w:r>
      <w:r w:rsidR="005A6235">
        <w:t xml:space="preserve">the </w:t>
      </w:r>
      <w:r w:rsidR="005A6235" w:rsidRPr="005A6235">
        <w:rPr>
          <w:i/>
        </w:rPr>
        <w:t>Smith</w:t>
      </w:r>
      <w:r w:rsidR="005A6235">
        <w:rPr>
          <w:i/>
        </w:rPr>
        <w:t xml:space="preserve"> </w:t>
      </w:r>
      <w:r w:rsidR="005A6235">
        <w:t>pen register and the ongoing NSA Bulk Telephony metadata Program have so many significant distinctions between them that I cannot possibly navigate these unchartered Fourth Amendment waters using as my North Star a case that predates the rise of cell phones.”</w:t>
      </w:r>
      <w:r w:rsidR="005A6235">
        <w:rPr>
          <w:rStyle w:val="FootnoteReference"/>
        </w:rPr>
        <w:footnoteReference w:id="27"/>
      </w:r>
      <w:r w:rsidR="006F4E54">
        <w:t xml:space="preserve"> Judge Leon ultimately leaves</w:t>
      </w:r>
      <w:r w:rsidR="00CF7877">
        <w:t xml:space="preserve"> his decision </w:t>
      </w:r>
      <w:r w:rsidR="006F4E54">
        <w:t>on the constitutionality of the 215 Program</w:t>
      </w:r>
      <w:r w:rsidR="00CF7877">
        <w:t xml:space="preserve"> to another day</w:t>
      </w:r>
      <w:r w:rsidR="006F4E54">
        <w:t xml:space="preserve"> stating only that it </w:t>
      </w:r>
      <w:r w:rsidR="006F4E54" w:rsidRPr="00233A15">
        <w:rPr>
          <w:i/>
        </w:rPr>
        <w:t>probably</w:t>
      </w:r>
      <w:r w:rsidR="006F4E54">
        <w:t xml:space="preserve"> violates </w:t>
      </w:r>
      <w:r w:rsidR="00233A15">
        <w:t>the Fourth Amendment</w:t>
      </w:r>
      <w:r w:rsidR="006F4E54">
        <w:t xml:space="preserve">. </w:t>
      </w:r>
      <w:r w:rsidR="00233A15">
        <w:t>In the meantime, the judge</w:t>
      </w:r>
      <w:r w:rsidR="006F4E54">
        <w:t xml:space="preserve"> </w:t>
      </w:r>
      <w:r w:rsidR="000B1824">
        <w:t xml:space="preserve">has </w:t>
      </w:r>
      <w:r w:rsidR="00CF7877">
        <w:t>issued a preliminary injunction (which he immediately stayed pending the Government’s ap</w:t>
      </w:r>
      <w:r w:rsidR="000B1824">
        <w:t>peal) on the collection of P</w:t>
      </w:r>
      <w:r w:rsidR="00CF7877">
        <w:t>laintiffs’ calling records</w:t>
      </w:r>
      <w:r w:rsidR="006F4E54">
        <w:t xml:space="preserve"> and </w:t>
      </w:r>
      <w:r w:rsidR="00233A15">
        <w:t>poses a question to which we are beginning</w:t>
      </w:r>
      <w:r w:rsidR="006F4E54">
        <w:t xml:space="preserve"> </w:t>
      </w:r>
      <w:r w:rsidR="00DC7F3D">
        <w:t>see an answer.</w:t>
      </w:r>
      <w:r w:rsidR="00233A15">
        <w:t xml:space="preserve"> Judge Leon asks </w:t>
      </w:r>
      <w:r w:rsidR="006F4E54">
        <w:t xml:space="preserve">whether or not there is a legitimate societal expectation of privacy </w:t>
      </w:r>
      <w:r w:rsidR="00233A15">
        <w:t xml:space="preserve">“that is violated when the Government, without </w:t>
      </w:r>
      <w:r w:rsidR="009027BF">
        <w:t xml:space="preserve">any basis whatsoever to suspect </w:t>
      </w:r>
      <w:r w:rsidR="00DC7F3D">
        <w:t>[people]</w:t>
      </w:r>
      <w:r w:rsidR="009027BF">
        <w:t xml:space="preserve"> of any wrongdoing, collects and stores five years of their telephony metadata for purposes of subjecting it to high-tech querying and analysis without any case-by-case judicial approval</w:t>
      </w:r>
      <w:r w:rsidR="00CF7877">
        <w:t>.</w:t>
      </w:r>
      <w:r w:rsidR="009027BF">
        <w:t>”</w:t>
      </w:r>
      <w:r w:rsidR="009027BF">
        <w:rPr>
          <w:rStyle w:val="FootnoteReference"/>
        </w:rPr>
        <w:footnoteReference w:id="28"/>
      </w:r>
    </w:p>
    <w:p w:rsidR="009F63CB" w:rsidRPr="003755F1" w:rsidRDefault="003755F1" w:rsidP="003755F1">
      <w:pPr>
        <w:pStyle w:val="TOC3"/>
        <w:rPr>
          <w:u w:val="single"/>
        </w:rPr>
      </w:pPr>
      <w:r>
        <w:tab/>
      </w:r>
      <w:r>
        <w:tab/>
      </w:r>
      <w:r w:rsidRPr="003755F1">
        <w:rPr>
          <w:u w:val="single"/>
        </w:rPr>
        <w:t xml:space="preserve">V. </w:t>
      </w:r>
      <w:r w:rsidRPr="003755F1">
        <w:rPr>
          <w:u w:val="single"/>
        </w:rPr>
        <w:tab/>
      </w:r>
      <w:r w:rsidR="00DF4BA7" w:rsidRPr="00DF4BA7">
        <w:rPr>
          <w:u w:val="single"/>
        </w:rPr>
        <w:t>Privacy and Civil Liberties Oversight Board Report</w:t>
      </w:r>
    </w:p>
    <w:p w:rsidR="00FC6EA5" w:rsidRDefault="00C6109B" w:rsidP="00C3238D">
      <w:pPr>
        <w:spacing w:line="480" w:lineRule="auto"/>
        <w:jc w:val="both"/>
      </w:pPr>
      <w:r w:rsidRPr="00F6355D">
        <w:tab/>
      </w:r>
      <w:r w:rsidR="00241EA6">
        <w:t xml:space="preserve">The PCLOB </w:t>
      </w:r>
      <w:r w:rsidR="00676767">
        <w:t>devote much of their tr</w:t>
      </w:r>
      <w:r w:rsidR="006116E5">
        <w:t>eatment of the Fourth Amendment</w:t>
      </w:r>
      <w:r w:rsidR="00676767">
        <w:t xml:space="preserve"> to</w:t>
      </w:r>
      <w:r w:rsidR="00241EA6">
        <w:t xml:space="preserve"> the </w:t>
      </w:r>
      <w:r w:rsidR="00076F6A">
        <w:t xml:space="preserve">primary authority </w:t>
      </w:r>
      <w:r w:rsidR="00D41DCA">
        <w:t xml:space="preserve">used </w:t>
      </w:r>
      <w:r w:rsidR="00692797">
        <w:t xml:space="preserve">by the Government as </w:t>
      </w:r>
      <w:r w:rsidR="006116E5">
        <w:t>a constitutional</w:t>
      </w:r>
      <w:r w:rsidR="00076F6A">
        <w:t xml:space="preserve"> defense </w:t>
      </w:r>
      <w:r w:rsidR="0000488E">
        <w:t>of the 215 Program; those authorities are</w:t>
      </w:r>
      <w:r w:rsidR="00241EA6">
        <w:t xml:space="preserve"> </w:t>
      </w:r>
      <w:r w:rsidR="00241EA6">
        <w:rPr>
          <w:i/>
        </w:rPr>
        <w:t>Smith v. Maryland</w:t>
      </w:r>
      <w:r w:rsidR="00241EA6">
        <w:t xml:space="preserve"> and the Third-Party Doctrine. </w:t>
      </w:r>
      <w:r w:rsidR="00F2122B">
        <w:t>Both the case and doctrine</w:t>
      </w:r>
      <w:r w:rsidR="00454DEC">
        <w:t xml:space="preserve"> are discussed in detail below</w:t>
      </w:r>
      <w:r w:rsidR="007D254A">
        <w:t>. But first, it will be useful to examine some of the foundational considerations touched upon by the PCLOB in their report</w:t>
      </w:r>
      <w:r w:rsidR="004B3FE4">
        <w:t>.</w:t>
      </w:r>
    </w:p>
    <w:p w:rsidR="00241EA6" w:rsidRPr="00241EA6" w:rsidRDefault="00FC6EA5" w:rsidP="00C3238D">
      <w:pPr>
        <w:spacing w:line="480" w:lineRule="auto"/>
        <w:jc w:val="both"/>
      </w:pPr>
      <w:r>
        <w:tab/>
        <w:t xml:space="preserve">The PCLOB </w:t>
      </w:r>
      <w:r w:rsidR="009D360B">
        <w:t xml:space="preserve">notes that Fourth Amendment interests are implicated when the Government carries out a warrantless search or seizure, but grant that it is sometimes difficult to determine what </w:t>
      </w:r>
      <w:r w:rsidR="0000488E">
        <w:t xml:space="preserve">exactly </w:t>
      </w:r>
      <w:r w:rsidR="009D360B">
        <w:t>constitutes a search or seizure.</w:t>
      </w:r>
      <w:r w:rsidR="00C45DE3">
        <w:t xml:space="preserve"> For the purpose </w:t>
      </w:r>
      <w:r w:rsidR="0006107A">
        <w:t xml:space="preserve">of </w:t>
      </w:r>
      <w:r w:rsidR="00C45DE3">
        <w:t xml:space="preserve">our discussion </w:t>
      </w:r>
      <w:r w:rsidR="0000488E">
        <w:t>here</w:t>
      </w:r>
      <w:r w:rsidR="00C45DE3">
        <w:t>, we will ask</w:t>
      </w:r>
      <w:r w:rsidR="0006107A">
        <w:t xml:space="preserve"> only </w:t>
      </w:r>
      <w:r w:rsidR="0000488E">
        <w:t>ask if the 215 Program</w:t>
      </w:r>
      <w:r w:rsidR="00C45DE3">
        <w:t xml:space="preserve"> constitutes a ‘search</w:t>
      </w:r>
      <w:r w:rsidR="0006107A">
        <w:t xml:space="preserve">’ </w:t>
      </w:r>
      <w:r w:rsidR="00C45DE3">
        <w:t>under the Fourth Amendment. But at what point, if any, does that search occur? The PCLOB point</w:t>
      </w:r>
      <w:r w:rsidR="00941F09">
        <w:t>s</w:t>
      </w:r>
      <w:r w:rsidR="00C45DE3">
        <w:t xml:space="preserve"> out that telephony metadata records are obtained </w:t>
      </w:r>
      <w:r w:rsidR="00941F09">
        <w:t xml:space="preserve">from the telecommunication companies with their assent and cooperation. The NSA does not tap into Americans’ computers, telephones, or homes in order to acquire the information. Nor does the NSA intercept communications in transit. </w:t>
      </w:r>
      <w:r w:rsidR="003701C1">
        <w:t>For these reasons, among others, the Government asserts the 215 Program does not constitute a search under the meaning of the Fourth Amendment. If the Government is correct in this assumption, t</w:t>
      </w:r>
      <w:r w:rsidR="0098599E">
        <w:t xml:space="preserve">he reasonableness standard need not be met and the records may be collected without obtaining a warrant. </w:t>
      </w:r>
      <w:r w:rsidR="00AE2B04">
        <w:t>But what constitutes a search?</w:t>
      </w:r>
    </w:p>
    <w:p w:rsidR="0071691C" w:rsidRPr="00F6355D" w:rsidRDefault="00241EA6" w:rsidP="00C3238D">
      <w:pPr>
        <w:spacing w:line="480" w:lineRule="auto"/>
        <w:jc w:val="both"/>
      </w:pPr>
      <w:r>
        <w:tab/>
      </w:r>
      <w:r w:rsidR="00025485">
        <w:t>Prior to the 1967 Supreme Court decision</w:t>
      </w:r>
      <w:r w:rsidR="000D79FB">
        <w:t>,</w:t>
      </w:r>
      <w:r w:rsidR="00025485">
        <w:t xml:space="preserve"> </w:t>
      </w:r>
      <w:r w:rsidR="00025485" w:rsidRPr="00025485">
        <w:rPr>
          <w:i/>
        </w:rPr>
        <w:t>Katz v. United States</w:t>
      </w:r>
      <w:r w:rsidR="006A1725">
        <w:rPr>
          <w:i/>
        </w:rPr>
        <w:t>,</w:t>
      </w:r>
      <w:r w:rsidR="006B30FA">
        <w:rPr>
          <w:i/>
        </w:rPr>
        <w:t xml:space="preserve"> </w:t>
      </w:r>
      <w:r w:rsidR="00025485">
        <w:t xml:space="preserve">the Constitution’s Fourth Amendment protections extended </w:t>
      </w:r>
      <w:r w:rsidR="006B30FA">
        <w:t xml:space="preserve">only </w:t>
      </w:r>
      <w:r w:rsidR="00025485">
        <w:t>to physical areas</w:t>
      </w:r>
      <w:r w:rsidR="00E510DE">
        <w:t>,</w:t>
      </w:r>
      <w:r w:rsidR="00025485">
        <w:t xml:space="preserve"> such as one’s home or vehicle. </w:t>
      </w:r>
      <w:r w:rsidR="006B30FA">
        <w:rPr>
          <w:i/>
        </w:rPr>
        <w:t>Katz</w:t>
      </w:r>
      <w:r w:rsidR="00B32F13">
        <w:t xml:space="preserve"> </w:t>
      </w:r>
      <w:r w:rsidR="008401D3">
        <w:t xml:space="preserve">broadened the scope of </w:t>
      </w:r>
      <w:r w:rsidR="00B32F13">
        <w:t xml:space="preserve">the </w:t>
      </w:r>
      <w:r w:rsidR="00FE5F30">
        <w:t>Fourth Amendment by establishing protections for people, not only places</w:t>
      </w:r>
      <w:r w:rsidR="00A10E83">
        <w:t xml:space="preserve">, and established a doctrine that </w:t>
      </w:r>
      <w:r w:rsidR="00B32F13">
        <w:t>includes</w:t>
      </w:r>
      <w:r w:rsidR="00A10E83">
        <w:t xml:space="preserve"> protections to </w:t>
      </w:r>
      <w:r w:rsidR="00816759">
        <w:t>areas where there is a reasonable expectation of privacy</w:t>
      </w:r>
      <w:r w:rsidR="006B30FA">
        <w:t>.</w:t>
      </w:r>
      <w:r w:rsidR="000D79FB">
        <w:t xml:space="preserve"> </w:t>
      </w:r>
      <w:r w:rsidR="00816759">
        <w:t>T</w:t>
      </w:r>
      <w:r w:rsidR="008401D3">
        <w:t>his standard must meet a “two-part test for determining whether government</w:t>
      </w:r>
      <w:r w:rsidR="008457D4">
        <w:t xml:space="preserve"> conduct qualifies as a search</w:t>
      </w:r>
      <w:r w:rsidR="008401D3">
        <w:t xml:space="preserve"> u</w:t>
      </w:r>
      <w:r w:rsidR="008457D4">
        <w:t xml:space="preserve">nder the Fourth Amendment. </w:t>
      </w:r>
      <w:r w:rsidR="008401D3">
        <w:t>This twofold</w:t>
      </w:r>
      <w:r w:rsidR="008457D4">
        <w:t xml:space="preserve"> requirement . . . requires first that a person have exhibited an actual (subjective) expectation of privacy and, second, that the expectation be one that society is prepared to recognize as reasonable.</w:t>
      </w:r>
      <w:r w:rsidR="00B815F6">
        <w:t xml:space="preserve"> Thus, a Fourth Amendment search occurs when the government violates a subjective expectation of privacy that society recognizes as reasonable.</w:t>
      </w:r>
      <w:r w:rsidR="008457D4">
        <w:t>”</w:t>
      </w:r>
      <w:r w:rsidR="00B815F6">
        <w:t xml:space="preserve"> (internal quotations omitted).</w:t>
      </w:r>
      <w:r w:rsidR="008457D4">
        <w:rPr>
          <w:rStyle w:val="FootnoteReference"/>
        </w:rPr>
        <w:footnoteReference w:id="29"/>
      </w:r>
      <w:r w:rsidR="00166F00">
        <w:t xml:space="preserve"> </w:t>
      </w:r>
      <w:r w:rsidR="00B815F6">
        <w:t xml:space="preserve"> </w:t>
      </w:r>
      <w:r w:rsidR="003A58C5">
        <w:t>T</w:t>
      </w:r>
      <w:r w:rsidR="00F61A29">
        <w:t xml:space="preserve">his test </w:t>
      </w:r>
      <w:r w:rsidR="000A08B0">
        <w:t>should render us better equipped to assess</w:t>
      </w:r>
      <w:r w:rsidR="00F61A29">
        <w:t xml:space="preserve"> the </w:t>
      </w:r>
      <w:r w:rsidR="00CA2C30">
        <w:t>Fourth Amendment pressures exerted on the American people by</w:t>
      </w:r>
      <w:r w:rsidR="00F61A29">
        <w:t xml:space="preserve"> the 215 Program. </w:t>
      </w:r>
      <w:r w:rsidR="00EB20B8">
        <w:t>But</w:t>
      </w:r>
      <w:r w:rsidR="000A08B0">
        <w:t xml:space="preserve"> when it comes to a discussion of privacy rights in telephony metadata and the 215 Program, t</w:t>
      </w:r>
      <w:r w:rsidR="00CA2C30">
        <w:t>he</w:t>
      </w:r>
      <w:r w:rsidR="00DF12B2">
        <w:t xml:space="preserve"> two-part </w:t>
      </w:r>
      <w:r w:rsidR="00B67209">
        <w:t xml:space="preserve">reasonableness </w:t>
      </w:r>
      <w:r w:rsidR="00DF12B2">
        <w:t xml:space="preserve">requirement </w:t>
      </w:r>
      <w:r w:rsidR="000B4AF0">
        <w:t>is</w:t>
      </w:r>
      <w:r w:rsidR="00DF12B2">
        <w:t xml:space="preserve"> in contention with another</w:t>
      </w:r>
      <w:r w:rsidR="00E87143">
        <w:t xml:space="preserve"> Fourth Amendment doctrine</w:t>
      </w:r>
      <w:r w:rsidR="00535CE3">
        <w:t>.</w:t>
      </w:r>
      <w:r w:rsidR="00E87143">
        <w:t xml:space="preserve"> </w:t>
      </w:r>
      <w:r w:rsidR="00E87143">
        <w:rPr>
          <w:i/>
        </w:rPr>
        <w:t>Smith v. Maryland</w:t>
      </w:r>
      <w:r w:rsidR="00292416">
        <w:t xml:space="preserve">, the 1979 case that </w:t>
      </w:r>
      <w:r w:rsidR="006468F2">
        <w:t>established the Third-Party Doctrine</w:t>
      </w:r>
      <w:r w:rsidR="00535CE3">
        <w:t xml:space="preserve">, states that individuals have no reasonable expectation of privacy in information </w:t>
      </w:r>
      <w:r w:rsidR="00186AB0">
        <w:t xml:space="preserve">voluntarily </w:t>
      </w:r>
      <w:r w:rsidR="00535CE3">
        <w:t>conveyed to a third party</w:t>
      </w:r>
      <w:r w:rsidR="00E87143">
        <w:t xml:space="preserve">. </w:t>
      </w:r>
      <w:r w:rsidR="00107B5B">
        <w:t xml:space="preserve"> </w:t>
      </w:r>
      <w:r w:rsidR="00E510DE">
        <w:t xml:space="preserve">To gain a better understanding of that doctrine </w:t>
      </w:r>
      <w:r w:rsidR="009F7667">
        <w:t xml:space="preserve">as well as </w:t>
      </w:r>
      <w:r w:rsidR="009F7667" w:rsidRPr="009F7667">
        <w:rPr>
          <w:i/>
        </w:rPr>
        <w:t>Smith</w:t>
      </w:r>
      <w:r w:rsidR="009F7667">
        <w:rPr>
          <w:i/>
        </w:rPr>
        <w:t xml:space="preserve"> </w:t>
      </w:r>
      <w:r w:rsidR="009F7667">
        <w:t>and how they fit with a discussion of the 215 Program, we will take a closer look at both.</w:t>
      </w:r>
      <w:r w:rsidR="009F7667">
        <w:rPr>
          <w:i/>
        </w:rPr>
        <w:t xml:space="preserve"> </w:t>
      </w:r>
    </w:p>
    <w:p w:rsidR="00827DD6" w:rsidRPr="00F6355D" w:rsidRDefault="00366F46" w:rsidP="00C3238D">
      <w:pPr>
        <w:pStyle w:val="TOC40"/>
        <w:spacing w:line="480" w:lineRule="auto"/>
        <w:jc w:val="both"/>
        <w:rPr>
          <w:u w:val="single"/>
        </w:rPr>
      </w:pPr>
      <w:r w:rsidRPr="00366F46">
        <w:tab/>
      </w:r>
      <w:r>
        <w:rPr>
          <w:u w:val="single"/>
        </w:rPr>
        <w:t>V</w:t>
      </w:r>
      <w:r w:rsidR="0050432F">
        <w:rPr>
          <w:u w:val="single"/>
        </w:rPr>
        <w:t>I</w:t>
      </w:r>
      <w:r w:rsidR="00C83EBE" w:rsidRPr="00F6355D">
        <w:rPr>
          <w:u w:val="single"/>
        </w:rPr>
        <w:t>.</w:t>
      </w:r>
      <w:r w:rsidR="009743F7" w:rsidRPr="00F6355D">
        <w:rPr>
          <w:u w:val="single"/>
        </w:rPr>
        <w:tab/>
      </w:r>
      <w:r w:rsidR="00C83EBE" w:rsidRPr="00F6355D">
        <w:rPr>
          <w:u w:val="single"/>
        </w:rPr>
        <w:t xml:space="preserve"> </w:t>
      </w:r>
      <w:r w:rsidR="00B802D8" w:rsidRPr="00F6355D">
        <w:rPr>
          <w:u w:val="single"/>
        </w:rPr>
        <w:t>The Third-</w:t>
      </w:r>
      <w:r w:rsidR="0071691C" w:rsidRPr="00F6355D">
        <w:rPr>
          <w:u w:val="single"/>
        </w:rPr>
        <w:t>Party Doctrine</w:t>
      </w:r>
    </w:p>
    <w:p w:rsidR="003F441D" w:rsidRPr="00F6355D" w:rsidRDefault="00C6109B" w:rsidP="00C3238D">
      <w:pPr>
        <w:spacing w:line="480" w:lineRule="auto"/>
        <w:jc w:val="both"/>
      </w:pPr>
      <w:r w:rsidRPr="00F6355D">
        <w:tab/>
      </w:r>
      <w:r w:rsidR="00B802D8" w:rsidRPr="00F6355D">
        <w:t xml:space="preserve">Judge </w:t>
      </w:r>
      <w:r w:rsidRPr="00F6355D">
        <w:t>Pauley writes in his motion to dismiss the ACLU case, “</w:t>
      </w:r>
      <w:r w:rsidR="00AA1742" w:rsidRPr="00F6355D">
        <w:t>[T]he business records created by Verizon are not ‘Plaintiffs’ call records.’ Those records are created and maintained by the telecommunications provider, not the ACLU</w:t>
      </w:r>
      <w:r w:rsidR="009F59F1" w:rsidRPr="00F6355D">
        <w:t xml:space="preserve">. </w:t>
      </w:r>
      <w:r w:rsidRPr="00F6355D">
        <w:t>Under the Constitution, that distinction is critical because when a person voluntarily conveys information to a third party, he forfeits his right to privacy in the information.”</w:t>
      </w:r>
      <w:r w:rsidRPr="00F6355D">
        <w:rPr>
          <w:rStyle w:val="FootnoteReference"/>
        </w:rPr>
        <w:footnoteReference w:id="30"/>
      </w:r>
      <w:r w:rsidRPr="00F6355D">
        <w:t xml:space="preserve"> </w:t>
      </w:r>
      <w:r w:rsidR="0091403A">
        <w:t>This quotation highlights</w:t>
      </w:r>
      <w:r w:rsidR="00AD54C7">
        <w:t xml:space="preserve"> the unanswered questions that arise when we examine</w:t>
      </w:r>
      <w:r w:rsidR="0091403A">
        <w:t xml:space="preserve"> the interplay </w:t>
      </w:r>
      <w:r w:rsidR="00AD54C7">
        <w:t>between</w:t>
      </w:r>
      <w:r w:rsidR="009F59F1" w:rsidRPr="00F6355D">
        <w:t xml:space="preserve"> ownership and the Third-Party Doct</w:t>
      </w:r>
      <w:r w:rsidR="007B2668" w:rsidRPr="00F6355D">
        <w:t>rine. We can then ask:</w:t>
      </w:r>
      <w:r w:rsidR="001F4E80" w:rsidRPr="00F6355D">
        <w:t xml:space="preserve"> does the</w:t>
      </w:r>
      <w:r w:rsidR="009F59F1" w:rsidRPr="00F6355D">
        <w:t xml:space="preserve"> concept of ownership and the application of the Third-Party Doctrine </w:t>
      </w:r>
      <w:r w:rsidRPr="00F6355D">
        <w:t xml:space="preserve">also </w:t>
      </w:r>
      <w:r w:rsidR="001F4E80" w:rsidRPr="00F6355D">
        <w:t>extend to information collected and retained for</w:t>
      </w:r>
      <w:r w:rsidR="00A26E47" w:rsidRPr="00F6355D">
        <w:t xml:space="preserve"> </w:t>
      </w:r>
      <w:r w:rsidRPr="00F6355D">
        <w:t xml:space="preserve">medical </w:t>
      </w:r>
      <w:r w:rsidR="001F4E80" w:rsidRPr="00F6355D">
        <w:t>purposes</w:t>
      </w:r>
      <w:r w:rsidRPr="00F6355D">
        <w:t xml:space="preserve">, email </w:t>
      </w:r>
      <w:r w:rsidR="001F4E80" w:rsidRPr="00F6355D">
        <w:t xml:space="preserve">account information or content, </w:t>
      </w:r>
      <w:r w:rsidR="007B2668" w:rsidRPr="00F6355D">
        <w:t>credit card purchasing history</w:t>
      </w:r>
      <w:r w:rsidR="003479CA">
        <w:t>, so on and so forth</w:t>
      </w:r>
      <w:r w:rsidR="007B2668" w:rsidRPr="00F6355D">
        <w:t>?</w:t>
      </w:r>
      <w:r w:rsidRPr="00F6355D">
        <w:t xml:space="preserve"> </w:t>
      </w:r>
      <w:r w:rsidR="00792493" w:rsidRPr="00F6355D">
        <w:t>Is it fair to assume that individuals have a reasonable expectation of privacy in the areas listed above?</w:t>
      </w:r>
      <w:r w:rsidR="007B2668" w:rsidRPr="00F6355D">
        <w:t xml:space="preserve"> In a time when nearly all of our personal and professional activities engage a third party, can the Third-P</w:t>
      </w:r>
      <w:r w:rsidR="00D008D5" w:rsidRPr="00F6355D">
        <w:t xml:space="preserve">arty Doctrine still be </w:t>
      </w:r>
      <w:r w:rsidR="003479CA">
        <w:t>consistent with one of the most cherished a</w:t>
      </w:r>
      <w:r w:rsidR="00AA24BC" w:rsidRPr="00F6355D">
        <w:t>mendments of the Constitution</w:t>
      </w:r>
      <w:r w:rsidRPr="00F6355D">
        <w:t>?</w:t>
      </w:r>
    </w:p>
    <w:p w:rsidR="00E241CF" w:rsidRPr="00F6355D" w:rsidRDefault="00C6109B" w:rsidP="00C3238D">
      <w:pPr>
        <w:spacing w:line="480" w:lineRule="auto"/>
        <w:jc w:val="both"/>
      </w:pPr>
      <w:r w:rsidRPr="00F6355D">
        <w:tab/>
      </w:r>
      <w:r w:rsidR="00ED7919" w:rsidRPr="00F6355D">
        <w:t>T</w:t>
      </w:r>
      <w:r w:rsidR="0019485D" w:rsidRPr="00F6355D">
        <w:t>he PCLOB question</w:t>
      </w:r>
      <w:r w:rsidR="004F70A9" w:rsidRPr="00F6355D">
        <w:t>s</w:t>
      </w:r>
      <w:r w:rsidR="00ED7919" w:rsidRPr="00F6355D">
        <w:t xml:space="preserve"> the </w:t>
      </w:r>
      <w:r w:rsidR="0019485D" w:rsidRPr="00F6355D">
        <w:t xml:space="preserve">viability of the </w:t>
      </w:r>
      <w:r w:rsidR="00ED7919" w:rsidRPr="00F6355D">
        <w:t>Third-</w:t>
      </w:r>
      <w:r w:rsidR="006376F7" w:rsidRPr="00F6355D">
        <w:t>Party Doctrine and outline</w:t>
      </w:r>
      <w:r w:rsidR="0093401A" w:rsidRPr="00F6355D">
        <w:t xml:space="preserve"> </w:t>
      </w:r>
      <w:r w:rsidR="00E850AD" w:rsidRPr="00F6355D">
        <w:t>in their report</w:t>
      </w:r>
      <w:r w:rsidR="00E850AD">
        <w:t xml:space="preserve"> </w:t>
      </w:r>
      <w:r w:rsidR="0093401A" w:rsidRPr="00F6355D">
        <w:t xml:space="preserve">a number of critiques </w:t>
      </w:r>
      <w:r w:rsidR="003479CA">
        <w:t xml:space="preserve">made </w:t>
      </w:r>
      <w:r w:rsidR="006376F7" w:rsidRPr="00F6355D">
        <w:t>by lea</w:t>
      </w:r>
      <w:r w:rsidR="00E850AD">
        <w:t>ding legal scholars</w:t>
      </w:r>
      <w:r w:rsidR="0093401A" w:rsidRPr="00F6355D">
        <w:t xml:space="preserve">. Criticisms of the Third-Party Doctrine began </w:t>
      </w:r>
      <w:r w:rsidR="00B76793">
        <w:t xml:space="preserve">with </w:t>
      </w:r>
      <w:r w:rsidR="0010631D" w:rsidRPr="0010631D">
        <w:rPr>
          <w:i/>
        </w:rPr>
        <w:t>Smith</w:t>
      </w:r>
      <w:r w:rsidR="0010631D">
        <w:t xml:space="preserve"> itself in the dissenting opinions of</w:t>
      </w:r>
      <w:r w:rsidR="00B76793">
        <w:t xml:space="preserve"> </w:t>
      </w:r>
      <w:r w:rsidR="00B76793" w:rsidRPr="00F6355D">
        <w:t>Justices Potter Stewart, Thurgood Marshall, and William Brennan</w:t>
      </w:r>
      <w:r w:rsidR="0093401A" w:rsidRPr="00F6355D">
        <w:rPr>
          <w:i/>
        </w:rPr>
        <w:t>.</w:t>
      </w:r>
      <w:r w:rsidR="007436D8" w:rsidRPr="00F6355D">
        <w:t xml:space="preserve"> </w:t>
      </w:r>
      <w:r w:rsidR="002D73F8" w:rsidRPr="00F6355D">
        <w:t>Under the Third Party Doctrine, the individual</w:t>
      </w:r>
      <w:r w:rsidR="002E5588" w:rsidRPr="00F6355D">
        <w:t xml:space="preserve"> </w:t>
      </w:r>
      <w:r w:rsidR="00A40B02" w:rsidRPr="00F6355D">
        <w:t>assumes the</w:t>
      </w:r>
      <w:r w:rsidR="002D73F8" w:rsidRPr="00F6355D">
        <w:t xml:space="preserve"> risk that personal information conveyed to a third party for business purposes may and can be disclosed to a governmental agency without </w:t>
      </w:r>
      <w:r w:rsidR="002929D1">
        <w:t xml:space="preserve">the </w:t>
      </w:r>
      <w:r w:rsidR="00F053C9">
        <w:t>requirement of</w:t>
      </w:r>
      <w:r w:rsidR="00A40B02" w:rsidRPr="00F6355D">
        <w:t xml:space="preserve"> </w:t>
      </w:r>
      <w:r w:rsidR="002D73F8" w:rsidRPr="00F6355D">
        <w:t>a warrant</w:t>
      </w:r>
      <w:r w:rsidR="003D21C1" w:rsidRPr="00F6355D">
        <w:t>.</w:t>
      </w:r>
      <w:r w:rsidR="002D73F8" w:rsidRPr="00F6355D">
        <w:t xml:space="preserve"> </w:t>
      </w:r>
      <w:r w:rsidR="002929D1">
        <w:t>U</w:t>
      </w:r>
      <w:r w:rsidR="007436D8" w:rsidRPr="00F6355D">
        <w:t xml:space="preserve">nder this </w:t>
      </w:r>
      <w:r w:rsidR="00E85ED2" w:rsidRPr="00F6355D">
        <w:t xml:space="preserve">problematic </w:t>
      </w:r>
      <w:r w:rsidR="007436D8" w:rsidRPr="00F6355D">
        <w:t xml:space="preserve">view, an individual’s privacy rights and expectations </w:t>
      </w:r>
      <w:r w:rsidR="00E85ED2" w:rsidRPr="00F6355D">
        <w:t>are characterized as</w:t>
      </w:r>
      <w:r w:rsidR="007436D8" w:rsidRPr="00F6355D">
        <w:t xml:space="preserve"> an absolute</w:t>
      </w:r>
      <w:r w:rsidR="0090312C">
        <w:t>,</w:t>
      </w:r>
      <w:r w:rsidR="007436D8" w:rsidRPr="00F6355D">
        <w:t xml:space="preserve"> </w:t>
      </w:r>
      <w:r w:rsidR="00766DDB" w:rsidRPr="00F6355D">
        <w:t>where</w:t>
      </w:r>
      <w:r w:rsidR="00E85ED2" w:rsidRPr="00F6355D">
        <w:t xml:space="preserve"> either the individual abstains</w:t>
      </w:r>
      <w:r w:rsidR="00766DDB" w:rsidRPr="00F6355D">
        <w:t xml:space="preserve"> entirely</w:t>
      </w:r>
      <w:r w:rsidR="00E85ED2" w:rsidRPr="00F6355D">
        <w:t xml:space="preserve"> from engaging in activities that would </w:t>
      </w:r>
      <w:r w:rsidR="002929D1" w:rsidRPr="00F6355D">
        <w:t>communicate</w:t>
      </w:r>
      <w:r w:rsidR="00E85ED2" w:rsidRPr="00F6355D">
        <w:t xml:space="preserve"> private information to a third party or the individual assumes the risks inherent in </w:t>
      </w:r>
      <w:r w:rsidR="009E65C4">
        <w:t>conducting personal and professional affairs through a third party</w:t>
      </w:r>
      <w:r w:rsidR="00766DDB" w:rsidRPr="00F6355D">
        <w:t xml:space="preserve">. </w:t>
      </w:r>
      <w:r w:rsidR="00DB604D" w:rsidRPr="00F6355D">
        <w:t>Justice Marshall took issue with this not</w:t>
      </w:r>
      <w:r w:rsidR="0010631D">
        <w:t>ion and opined in his dissent to</w:t>
      </w:r>
      <w:r w:rsidR="00DB604D" w:rsidRPr="00F6355D">
        <w:t xml:space="preserve"> </w:t>
      </w:r>
      <w:r w:rsidR="00DB604D" w:rsidRPr="00F6355D">
        <w:rPr>
          <w:i/>
        </w:rPr>
        <w:t>Smith</w:t>
      </w:r>
      <w:r w:rsidR="00DB604D" w:rsidRPr="00F6355D">
        <w:t>, “Privacy is not a discrete commodity, possessed absolutely or not at all. Those who disclose certain facts to a bank or phone company for a limited business purpose need not assume that this information will be released to other persons for other purposes.”</w:t>
      </w:r>
      <w:r w:rsidR="00DB604D" w:rsidRPr="00F6355D">
        <w:rPr>
          <w:rStyle w:val="FootnoteReference"/>
        </w:rPr>
        <w:footnoteReference w:id="31"/>
      </w:r>
      <w:r w:rsidR="00DB604D" w:rsidRPr="00F6355D">
        <w:t xml:space="preserve"> </w:t>
      </w:r>
    </w:p>
    <w:p w:rsidR="00D20B46" w:rsidRPr="00F6355D" w:rsidRDefault="00E241CF" w:rsidP="00C3238D">
      <w:pPr>
        <w:spacing w:line="480" w:lineRule="auto"/>
        <w:jc w:val="both"/>
      </w:pPr>
      <w:r w:rsidRPr="00F6355D">
        <w:tab/>
      </w:r>
      <w:r w:rsidR="0098741E">
        <w:t xml:space="preserve">More recently, </w:t>
      </w:r>
      <w:r w:rsidR="001A0813" w:rsidRPr="00F6355D">
        <w:t>Justice Sonya Sotomayor</w:t>
      </w:r>
      <w:r w:rsidR="0098741E">
        <w:t xml:space="preserve"> </w:t>
      </w:r>
      <w:r w:rsidR="0090312C">
        <w:t>in her concurring opinion for</w:t>
      </w:r>
      <w:r w:rsidR="00F50802" w:rsidRPr="00F6355D">
        <w:t xml:space="preserve"> </w:t>
      </w:r>
      <w:r w:rsidR="005B2441" w:rsidRPr="005B2441">
        <w:rPr>
          <w:i/>
        </w:rPr>
        <w:t xml:space="preserve">United States v. </w:t>
      </w:r>
      <w:r w:rsidR="00F50802" w:rsidRPr="00F6355D">
        <w:rPr>
          <w:i/>
        </w:rPr>
        <w:t>Jones</w:t>
      </w:r>
      <w:r w:rsidR="00350D8B">
        <w:rPr>
          <w:i/>
        </w:rPr>
        <w:t xml:space="preserve"> </w:t>
      </w:r>
      <w:r w:rsidR="00F50802" w:rsidRPr="00F6355D">
        <w:t>wrote, “[I]t may be necessary to reconsider the premise that an individual has no reasonable expectation of privacy in information voluntarily disclosed to third parties. This approach is ill suited to the digital age, in which people reveal a great deal of information about themselves to third parties in the course of carrying out mundane tasks . . . I for one doubt that people would accept without complaint the warrantless disclosure to the Government of a list of every Web site they had visited in the last week, or month, or year. But whatever the societal expectation, they can attain constitutionally protected status only if our Fourth Amendment jurisprudence ceases to treat secrecy as a prerequisite for privacy. I would not assume that all information voluntarily disclosed to some member of the public for a limited purpose is, fo</w:t>
      </w:r>
      <w:r w:rsidR="00D60376">
        <w:t>r that reason alone, disentitled</w:t>
      </w:r>
      <w:r w:rsidR="00F50802" w:rsidRPr="00F6355D">
        <w:t xml:space="preserve"> to Fo</w:t>
      </w:r>
      <w:r w:rsidR="0017070D" w:rsidRPr="00F6355D">
        <w:t>urth Amendment protection.”</w:t>
      </w:r>
      <w:r w:rsidR="0017070D" w:rsidRPr="00F6355D">
        <w:rPr>
          <w:rStyle w:val="FootnoteReference"/>
        </w:rPr>
        <w:footnoteReference w:id="32"/>
      </w:r>
    </w:p>
    <w:p w:rsidR="00D20B46" w:rsidRPr="00F6355D" w:rsidRDefault="00366F46" w:rsidP="00C3238D">
      <w:pPr>
        <w:pStyle w:val="TOC40"/>
        <w:spacing w:line="480" w:lineRule="auto"/>
        <w:rPr>
          <w:u w:val="single"/>
        </w:rPr>
      </w:pPr>
      <w:r w:rsidRPr="00366F46">
        <w:tab/>
      </w:r>
      <w:r>
        <w:rPr>
          <w:u w:val="single"/>
        </w:rPr>
        <w:t>V</w:t>
      </w:r>
      <w:r w:rsidR="0050432F">
        <w:rPr>
          <w:u w:val="single"/>
        </w:rPr>
        <w:t>II</w:t>
      </w:r>
      <w:r w:rsidR="00BC4B54" w:rsidRPr="00F6355D">
        <w:rPr>
          <w:u w:val="single"/>
        </w:rPr>
        <w:t xml:space="preserve">. </w:t>
      </w:r>
      <w:r w:rsidR="009743F7" w:rsidRPr="00F6355D">
        <w:rPr>
          <w:u w:val="single"/>
        </w:rPr>
        <w:tab/>
      </w:r>
      <w:r w:rsidR="00BC4B54" w:rsidRPr="00F6355D">
        <w:rPr>
          <w:u w:val="single"/>
        </w:rPr>
        <w:t xml:space="preserve">Smith v. Maryland: </w:t>
      </w:r>
      <w:r w:rsidR="0006215C">
        <w:rPr>
          <w:u w:val="single"/>
        </w:rPr>
        <w:t>T</w:t>
      </w:r>
      <w:r w:rsidR="00BC4B54" w:rsidRPr="00F6355D">
        <w:rPr>
          <w:u w:val="single"/>
        </w:rPr>
        <w:t>he Case That Established the D</w:t>
      </w:r>
      <w:r w:rsidR="00D20B46" w:rsidRPr="00F6355D">
        <w:rPr>
          <w:u w:val="single"/>
        </w:rPr>
        <w:t>octrine</w:t>
      </w:r>
    </w:p>
    <w:p w:rsidR="00215CC8" w:rsidRDefault="00D20B46" w:rsidP="00C3238D">
      <w:pPr>
        <w:spacing w:line="480" w:lineRule="auto"/>
        <w:jc w:val="both"/>
      </w:pPr>
      <w:r w:rsidRPr="00F6355D">
        <w:tab/>
        <w:t xml:space="preserve">It bears </w:t>
      </w:r>
      <w:r w:rsidR="008F3EC3">
        <w:t>on a</w:t>
      </w:r>
      <w:r w:rsidRPr="00F6355D">
        <w:t xml:space="preserve"> </w:t>
      </w:r>
      <w:r w:rsidR="008F3EC3">
        <w:t>conversation</w:t>
      </w:r>
      <w:r w:rsidRPr="00F6355D">
        <w:t xml:space="preserve"> of the Third-Party Doctrine to examine</w:t>
      </w:r>
      <w:r w:rsidR="00D60376">
        <w:t xml:space="preserve"> also</w:t>
      </w:r>
      <w:r w:rsidRPr="00F6355D">
        <w:t xml:space="preserve">, at least superficially, the facts surrounding </w:t>
      </w:r>
      <w:r w:rsidR="00B50B1D" w:rsidRPr="00F6355D">
        <w:t>the case that established it</w:t>
      </w:r>
      <w:r w:rsidRPr="00F6355D">
        <w:t xml:space="preserve">. </w:t>
      </w:r>
      <w:r w:rsidR="0040671D" w:rsidRPr="00F6355D">
        <w:t>Michael Lee Smith, in March of 1</w:t>
      </w:r>
      <w:r w:rsidR="001654D1" w:rsidRPr="00F6355D">
        <w:t>976, robbed Patricia McDonough and subsequently made threatening and obscen</w:t>
      </w:r>
      <w:r w:rsidR="00B50B1D" w:rsidRPr="00F6355D">
        <w:t>e phone calls to her home</w:t>
      </w:r>
      <w:r w:rsidR="001654D1" w:rsidRPr="00F6355D">
        <w:t xml:space="preserve">. Through descriptions </w:t>
      </w:r>
      <w:r w:rsidR="00CC38BA" w:rsidRPr="00F6355D">
        <w:t xml:space="preserve">provided by Ms. </w:t>
      </w:r>
      <w:r w:rsidR="001654D1" w:rsidRPr="00F6355D">
        <w:t>McDonough of her assailant’s vehicle, the police were able to trace the origins</w:t>
      </w:r>
      <w:r w:rsidR="00CC38BA" w:rsidRPr="00F6355D">
        <w:t xml:space="preserve"> of the harassing phone calls to Mr. Smith</w:t>
      </w:r>
      <w:r w:rsidR="00B50B1D" w:rsidRPr="00F6355D">
        <w:t>’s home</w:t>
      </w:r>
      <w:r w:rsidR="00CC38BA" w:rsidRPr="00F6355D">
        <w:t xml:space="preserve">. </w:t>
      </w:r>
      <w:r w:rsidR="00B50B1D" w:rsidRPr="00F6355D">
        <w:t>At the request of police officers</w:t>
      </w:r>
      <w:r w:rsidR="00947897" w:rsidRPr="00F6355D">
        <w:t>,</w:t>
      </w:r>
      <w:r w:rsidR="00B50B1D" w:rsidRPr="00F6355D">
        <w:t xml:space="preserve"> </w:t>
      </w:r>
      <w:r w:rsidR="00947897" w:rsidRPr="00F6355D">
        <w:t xml:space="preserve">but absent a warrant, </w:t>
      </w:r>
      <w:r w:rsidR="00B50B1D" w:rsidRPr="00F6355D">
        <w:t>the telephone comp</w:t>
      </w:r>
      <w:r w:rsidR="00947897" w:rsidRPr="00F6355D">
        <w:t xml:space="preserve">any installed a pen register at the </w:t>
      </w:r>
      <w:r w:rsidR="005C7A01" w:rsidRPr="00F6355D">
        <w:t xml:space="preserve">company’s </w:t>
      </w:r>
      <w:r w:rsidR="00947897" w:rsidRPr="00F6355D">
        <w:t xml:space="preserve">central office. </w:t>
      </w:r>
      <w:r w:rsidR="00F96A11" w:rsidRPr="00F6355D">
        <w:t>This device recorded</w:t>
      </w:r>
      <w:r w:rsidR="003B2BD7" w:rsidRPr="00F6355D">
        <w:t>,</w:t>
      </w:r>
      <w:r w:rsidR="00F96A11" w:rsidRPr="00F6355D">
        <w:t xml:space="preserve"> </w:t>
      </w:r>
      <w:r w:rsidR="003B2BD7" w:rsidRPr="00F6355D">
        <w:t xml:space="preserve">for a period of two days, </w:t>
      </w:r>
      <w:r w:rsidR="00C207AF" w:rsidRPr="008F3EC3">
        <w:rPr>
          <w:i/>
        </w:rPr>
        <w:t>only</w:t>
      </w:r>
      <w:r w:rsidR="00C207AF" w:rsidRPr="00F6355D">
        <w:t xml:space="preserve"> </w:t>
      </w:r>
      <w:r w:rsidR="00F96A11" w:rsidRPr="00F6355D">
        <w:t xml:space="preserve">the </w:t>
      </w:r>
      <w:r w:rsidR="00947897" w:rsidRPr="00F6355D">
        <w:t xml:space="preserve">telephone </w:t>
      </w:r>
      <w:r w:rsidR="00F96A11" w:rsidRPr="00F6355D">
        <w:t xml:space="preserve">numbers dialed </w:t>
      </w:r>
      <w:r w:rsidR="00C57EF5" w:rsidRPr="00F6355D">
        <w:t>from Mr. Smith’s home</w:t>
      </w:r>
      <w:r w:rsidR="00C207AF" w:rsidRPr="00F6355D">
        <w:t>. The pen register d</w:t>
      </w:r>
      <w:r w:rsidR="003B6B96" w:rsidRPr="00F6355D">
        <w:t xml:space="preserve">id not </w:t>
      </w:r>
      <w:r w:rsidR="00947897" w:rsidRPr="00F6355D">
        <w:t>record</w:t>
      </w:r>
      <w:r w:rsidR="003B6B96" w:rsidRPr="00F6355D">
        <w:t xml:space="preserve"> </w:t>
      </w:r>
      <w:r w:rsidR="009E411D">
        <w:t xml:space="preserve">incoming calls, </w:t>
      </w:r>
      <w:r w:rsidR="00947897" w:rsidRPr="00F6355D">
        <w:t>whether or not</w:t>
      </w:r>
      <w:r w:rsidR="009E411D">
        <w:t xml:space="preserve"> a</w:t>
      </w:r>
      <w:r w:rsidR="003B6B96" w:rsidRPr="00F6355D">
        <w:t xml:space="preserve"> </w:t>
      </w:r>
      <w:r w:rsidR="003B2BD7" w:rsidRPr="00F6355D">
        <w:t>connection</w:t>
      </w:r>
      <w:r w:rsidR="009E411D">
        <w:t xml:space="preserve"> had been made</w:t>
      </w:r>
      <w:r w:rsidR="00215CC8">
        <w:t>, the time of day a call was placed,</w:t>
      </w:r>
      <w:r w:rsidR="003B2BD7" w:rsidRPr="00F6355D">
        <w:t xml:space="preserve"> </w:t>
      </w:r>
      <w:r w:rsidR="00C57EF5" w:rsidRPr="00F6355D">
        <w:t xml:space="preserve">or the duration of </w:t>
      </w:r>
      <w:r w:rsidR="00FB3EF6">
        <w:t>a</w:t>
      </w:r>
      <w:r w:rsidR="00C57EF5" w:rsidRPr="00F6355D">
        <w:t xml:space="preserve"> call. </w:t>
      </w:r>
      <w:r w:rsidR="007C315F">
        <w:t xml:space="preserve"> </w:t>
      </w:r>
      <w:r w:rsidR="00215CC8">
        <w:t>Shortly after its installation, the pen register</w:t>
      </w:r>
      <w:r w:rsidR="00CF30F8" w:rsidRPr="00F6355D">
        <w:t xml:space="preserve"> </w:t>
      </w:r>
      <w:r w:rsidR="00215CC8">
        <w:t>revealed that a call was</w:t>
      </w:r>
      <w:r w:rsidR="00CF30F8" w:rsidRPr="00F6355D">
        <w:t xml:space="preserve"> placed from </w:t>
      </w:r>
      <w:r w:rsidR="000551A4" w:rsidRPr="00F6355D">
        <w:t>Mr. Smith</w:t>
      </w:r>
      <w:r w:rsidR="00CF30F8" w:rsidRPr="00F6355D">
        <w:t>’s home</w:t>
      </w:r>
      <w:r w:rsidR="00C207AF" w:rsidRPr="00F6355D">
        <w:t xml:space="preserve"> to Ms. McDonough</w:t>
      </w:r>
      <w:r w:rsidR="00CF30F8" w:rsidRPr="00F6355D">
        <w:t xml:space="preserve">’s; </w:t>
      </w:r>
      <w:r w:rsidR="000551A4" w:rsidRPr="00F6355D">
        <w:t xml:space="preserve">based on this and other information a warrant was obtained and Mr. Smith’s property was searched. </w:t>
      </w:r>
      <w:r w:rsidR="00C207AF" w:rsidRPr="00F6355D">
        <w:t xml:space="preserve">Sufficient evidence was secured from the property to make an arrest. </w:t>
      </w:r>
      <w:r w:rsidR="00467384" w:rsidRPr="00F6355D">
        <w:t xml:space="preserve">Ms. McDonough identified Mr. Smith </w:t>
      </w:r>
      <w:r w:rsidR="00C207AF" w:rsidRPr="00F6355D">
        <w:t xml:space="preserve">in a lineup and </w:t>
      </w:r>
      <w:r w:rsidR="00467384" w:rsidRPr="00F6355D">
        <w:t>he</w:t>
      </w:r>
      <w:r w:rsidR="00C207AF" w:rsidRPr="00F6355D">
        <w:t xml:space="preserve"> was </w:t>
      </w:r>
      <w:r w:rsidR="00467384" w:rsidRPr="00F6355D">
        <w:t xml:space="preserve">indicted in the Criminal Court of Baltimore for robbery. </w:t>
      </w:r>
    </w:p>
    <w:p w:rsidR="008A2234" w:rsidRPr="00F6355D" w:rsidRDefault="00215CC8" w:rsidP="00C3238D">
      <w:pPr>
        <w:spacing w:line="480" w:lineRule="auto"/>
        <w:jc w:val="both"/>
      </w:pPr>
      <w:r>
        <w:tab/>
      </w:r>
      <w:r w:rsidR="00467384" w:rsidRPr="00F6355D">
        <w:t xml:space="preserve">Because </w:t>
      </w:r>
      <w:r w:rsidR="00962BCF" w:rsidRPr="00F6355D">
        <w:t xml:space="preserve">a warrant was not </w:t>
      </w:r>
      <w:r w:rsidR="00566844" w:rsidRPr="00F6355D">
        <w:t xml:space="preserve">obtained prior </w:t>
      </w:r>
      <w:r w:rsidR="00962BCF" w:rsidRPr="00F6355D">
        <w:t xml:space="preserve">to </w:t>
      </w:r>
      <w:r w:rsidR="00566844" w:rsidRPr="00F6355D">
        <w:t xml:space="preserve">the </w:t>
      </w:r>
      <w:r w:rsidR="00962BCF" w:rsidRPr="00F6355D">
        <w:t>install</w:t>
      </w:r>
      <w:r w:rsidR="00566844" w:rsidRPr="00F6355D">
        <w:t>ation of</w:t>
      </w:r>
      <w:r w:rsidR="00962BCF" w:rsidRPr="00F6355D">
        <w:t xml:space="preserve"> the pen register t</w:t>
      </w:r>
      <w:r w:rsidR="00467384" w:rsidRPr="00F6355D">
        <w:t xml:space="preserve">he defense sought to suppress </w:t>
      </w:r>
      <w:r w:rsidR="00962BCF" w:rsidRPr="00F6355D">
        <w:t xml:space="preserve">all evidence derived from the device. </w:t>
      </w:r>
      <w:r w:rsidR="007F5C1E" w:rsidRPr="00F6355D">
        <w:t>The motion to suppress evidence</w:t>
      </w:r>
      <w:r w:rsidR="00566DF0" w:rsidRPr="00F6355D">
        <w:t xml:space="preserve"> derived from the pen register</w:t>
      </w:r>
      <w:r w:rsidR="007F5C1E" w:rsidRPr="00F6355D">
        <w:t xml:space="preserve"> was denied and Mr. Smith was sentenced to six years. </w:t>
      </w:r>
      <w:r w:rsidR="00962BCF" w:rsidRPr="00F6355D">
        <w:t xml:space="preserve"> </w:t>
      </w:r>
      <w:r w:rsidR="00566844" w:rsidRPr="00F6355D">
        <w:t>With three judges dissenting</w:t>
      </w:r>
      <w:r w:rsidR="00E422B5" w:rsidRPr="00F6355D">
        <w:t xml:space="preserve">, the Court of Appeals </w:t>
      </w:r>
      <w:r w:rsidR="009910C8" w:rsidRPr="00F6355D">
        <w:t xml:space="preserve">ultimately </w:t>
      </w:r>
      <w:r w:rsidR="00E422B5" w:rsidRPr="00F6355D">
        <w:t>found that “there is no constitutionally protected reasonable expectation of privacy in the numbers dialed into a telephone system and hence no search within the fourth amendment is implicated by the use of a pen register installed at the central offices of the telephone company.”</w:t>
      </w:r>
      <w:r w:rsidR="00E422B5" w:rsidRPr="00F6355D">
        <w:rPr>
          <w:rStyle w:val="FootnoteReference"/>
        </w:rPr>
        <w:footnoteReference w:id="33"/>
      </w:r>
      <w:r w:rsidR="00BD5AA7" w:rsidRPr="00F6355D">
        <w:t xml:space="preserve"> Thus, no search was conducted and no warrant needed. </w:t>
      </w:r>
      <w:r w:rsidR="00E25598">
        <w:t>Mr. Smith appealed to the Supreme Court.</w:t>
      </w:r>
    </w:p>
    <w:p w:rsidR="00B0712C" w:rsidRPr="00F6355D" w:rsidRDefault="008A2234" w:rsidP="00C3238D">
      <w:pPr>
        <w:spacing w:line="480" w:lineRule="auto"/>
        <w:jc w:val="both"/>
      </w:pPr>
      <w:r w:rsidRPr="00F6355D">
        <w:tab/>
      </w:r>
      <w:r w:rsidR="00172686" w:rsidRPr="00F6355D">
        <w:t>In determining whether or not the pen register installed on Mr. Smith’s telephone line constituted a search under the Fourth Amendment</w:t>
      </w:r>
      <w:r w:rsidR="00566844" w:rsidRPr="00F6355D">
        <w:t>,</w:t>
      </w:r>
      <w:r w:rsidR="00172686" w:rsidRPr="00F6355D">
        <w:t xml:space="preserve"> </w:t>
      </w:r>
      <w:r w:rsidR="00566844" w:rsidRPr="00F6355D">
        <w:t xml:space="preserve">Justice Blackman </w:t>
      </w:r>
      <w:r w:rsidR="00FB2CF9" w:rsidRPr="00F6355D">
        <w:t xml:space="preserve">in </w:t>
      </w:r>
      <w:r w:rsidR="00566844" w:rsidRPr="00F6355D">
        <w:t xml:space="preserve">writing the opinion for the </w:t>
      </w:r>
      <w:r w:rsidR="00266953" w:rsidRPr="00F6355D">
        <w:t>Supreme Court</w:t>
      </w:r>
      <w:r w:rsidR="00FB2CF9" w:rsidRPr="00F6355D">
        <w:t>,</w:t>
      </w:r>
      <w:r w:rsidR="00266953" w:rsidRPr="00F6355D">
        <w:t xml:space="preserve"> first turned to </w:t>
      </w:r>
      <w:r w:rsidR="00172686" w:rsidRPr="00F6355D">
        <w:t xml:space="preserve">the reasonable expectation of privacy </w:t>
      </w:r>
      <w:r w:rsidR="00F6430A">
        <w:t xml:space="preserve">test </w:t>
      </w:r>
      <w:r w:rsidR="00172686" w:rsidRPr="00F6355D">
        <w:t xml:space="preserve">established by </w:t>
      </w:r>
      <w:r w:rsidR="00266953" w:rsidRPr="00F6355D">
        <w:rPr>
          <w:i/>
        </w:rPr>
        <w:t>Katz</w:t>
      </w:r>
      <w:r w:rsidR="00172686" w:rsidRPr="00F6355D">
        <w:t xml:space="preserve">. </w:t>
      </w:r>
      <w:r w:rsidR="005E6516">
        <w:t>As discussed above, t</w:t>
      </w:r>
      <w:r w:rsidR="00446F34" w:rsidRPr="00F6355D">
        <w:t xml:space="preserve">his touchstone of privacy </w:t>
      </w:r>
      <w:r w:rsidR="00655949" w:rsidRPr="00F6355D">
        <w:t>must meet two criteria</w:t>
      </w:r>
      <w:r w:rsidR="00EC01C2" w:rsidRPr="00F6355D">
        <w:t xml:space="preserve">. First, </w:t>
      </w:r>
      <w:r w:rsidR="00655949" w:rsidRPr="00F6355D">
        <w:t xml:space="preserve">did </w:t>
      </w:r>
      <w:r w:rsidR="00EC01C2" w:rsidRPr="00F6355D">
        <w:t>the individual conduct himself in a manner that “exhibited an actual (subjective) expectation of privacy”? And, secondly,</w:t>
      </w:r>
      <w:r w:rsidR="00446F34" w:rsidRPr="00F6355D">
        <w:t xml:space="preserve"> </w:t>
      </w:r>
      <w:r w:rsidR="005E6516">
        <w:t>is</w:t>
      </w:r>
      <w:r w:rsidR="004C02D6" w:rsidRPr="00F6355D">
        <w:t xml:space="preserve"> “</w:t>
      </w:r>
      <w:r w:rsidR="00655949" w:rsidRPr="00F6355D">
        <w:t>the individual’s su</w:t>
      </w:r>
      <w:r w:rsidR="005E6516">
        <w:t>bjective expectation of privacy</w:t>
      </w:r>
      <w:r w:rsidR="002061D1" w:rsidRPr="00F6355D">
        <w:t xml:space="preserve"> one that society is prepared to recognize as reasonable”</w:t>
      </w:r>
      <w:r w:rsidR="00F6430A">
        <w:t>?</w:t>
      </w:r>
      <w:r w:rsidR="002061D1" w:rsidRPr="00F6355D">
        <w:t xml:space="preserve"> (internal quotations omitted).</w:t>
      </w:r>
      <w:r w:rsidR="00984FE3" w:rsidRPr="00F6355D">
        <w:rPr>
          <w:rStyle w:val="FootnoteReference"/>
        </w:rPr>
        <w:footnoteReference w:id="34"/>
      </w:r>
    </w:p>
    <w:p w:rsidR="00185BF1" w:rsidRPr="00F6355D" w:rsidRDefault="00B0712C" w:rsidP="00C3238D">
      <w:pPr>
        <w:spacing w:line="480" w:lineRule="auto"/>
        <w:jc w:val="both"/>
      </w:pPr>
      <w:r w:rsidRPr="00F6355D">
        <w:tab/>
        <w:t>Justice Blackman</w:t>
      </w:r>
      <w:r w:rsidR="0074322C" w:rsidRPr="00F6355D">
        <w:t xml:space="preserve"> </w:t>
      </w:r>
      <w:r w:rsidR="00CE4BB4" w:rsidRPr="00F6355D">
        <w:t xml:space="preserve">found that the pen register differed significantly from the listening device employed in </w:t>
      </w:r>
      <w:r w:rsidR="00CE4BB4" w:rsidRPr="00F6355D">
        <w:rPr>
          <w:i/>
        </w:rPr>
        <w:t>Katz</w:t>
      </w:r>
      <w:r w:rsidR="00CE4BB4" w:rsidRPr="00F6355D">
        <w:t xml:space="preserve">, “for pen registers do not acquire the </w:t>
      </w:r>
      <w:r w:rsidR="00CE4BB4" w:rsidRPr="00F6355D">
        <w:rPr>
          <w:i/>
        </w:rPr>
        <w:t>contents</w:t>
      </w:r>
      <w:r w:rsidR="0074322C" w:rsidRPr="00F6355D">
        <w:t xml:space="preserve"> of communications</w:t>
      </w:r>
      <w:r w:rsidR="00CE4BB4" w:rsidRPr="00F6355D">
        <w:t>”</w:t>
      </w:r>
      <w:r w:rsidR="0074322C" w:rsidRPr="00F6355D">
        <w:t xml:space="preserve"> (emphasis in original)</w:t>
      </w:r>
      <w:r w:rsidR="00984FE3" w:rsidRPr="00F6355D">
        <w:rPr>
          <w:rStyle w:val="FootnoteReference"/>
        </w:rPr>
        <w:footnoteReference w:id="35"/>
      </w:r>
      <w:r w:rsidR="0074322C" w:rsidRPr="00F6355D">
        <w:t xml:space="preserve"> and </w:t>
      </w:r>
      <w:r w:rsidR="00984FE3" w:rsidRPr="00F6355D">
        <w:t>consequently</w:t>
      </w:r>
      <w:r w:rsidR="0074322C" w:rsidRPr="00F6355D">
        <w:t xml:space="preserve"> </w:t>
      </w:r>
      <w:r w:rsidR="00856DCB" w:rsidRPr="00F6355D">
        <w:t xml:space="preserve">rejects Mr. Smith’s claim that he had a reasonable expectation of privacy in the numbers dialed from his home. As </w:t>
      </w:r>
      <w:r w:rsidR="00756E9C" w:rsidRPr="00F6355D">
        <w:t xml:space="preserve">Justice </w:t>
      </w:r>
      <w:r w:rsidR="0074322C" w:rsidRPr="00F6355D">
        <w:t xml:space="preserve">Blackman </w:t>
      </w:r>
      <w:r w:rsidR="00756E9C" w:rsidRPr="00F6355D">
        <w:t>wrote, “we doubt that people in general entertain any actual expectation of privacy in the numbers they dial. All telephone users</w:t>
      </w:r>
      <w:r w:rsidR="0074322C" w:rsidRPr="00F6355D">
        <w:t xml:space="preserve"> realize that they must ‘convey’</w:t>
      </w:r>
      <w:r w:rsidR="00756E9C" w:rsidRPr="00F6355D">
        <w:t xml:space="preserve"> phone numbers to the telephone company, since it is through telephone company switching equipment that their calls are completed. All subscribers realize, moreover, that the phone company has facilities for making permanent records of the numbers they dial[.]”</w:t>
      </w:r>
      <w:r w:rsidR="00756E9C" w:rsidRPr="00F6355D">
        <w:rPr>
          <w:rStyle w:val="FootnoteReference"/>
        </w:rPr>
        <w:footnoteReference w:id="36"/>
      </w:r>
      <w:r w:rsidR="0047536D" w:rsidRPr="00F6355D">
        <w:t xml:space="preserve"> Secondly, the Justice found that “even if petitioner did harbor some subjective expectation that the phone numbers he dialed would remain private, this expectation is not one that society is prepared to recognize as reasonable. This Court consistently has held that a person has no legitimate expectation of privacy in the information he voluntarily turns over to third parties.”</w:t>
      </w:r>
      <w:r w:rsidR="009F6F58" w:rsidRPr="00F6355D">
        <w:rPr>
          <w:rStyle w:val="FootnoteReference"/>
        </w:rPr>
        <w:footnoteReference w:id="37"/>
      </w:r>
      <w:r w:rsidR="009F6F58" w:rsidRPr="00F6355D">
        <w:t xml:space="preserve"> </w:t>
      </w:r>
    </w:p>
    <w:p w:rsidR="00A3622E" w:rsidRPr="00F6355D" w:rsidRDefault="00185BF1" w:rsidP="00C3238D">
      <w:pPr>
        <w:spacing w:line="480" w:lineRule="auto"/>
        <w:jc w:val="both"/>
      </w:pPr>
      <w:r w:rsidRPr="00F6355D">
        <w:tab/>
        <w:t>Justices Stewart</w:t>
      </w:r>
      <w:r w:rsidR="00A3622E" w:rsidRPr="00F6355D">
        <w:t>, Marshall,</w:t>
      </w:r>
      <w:r w:rsidRPr="00F6355D">
        <w:t xml:space="preserve"> and Brennan joined in dissent. </w:t>
      </w:r>
      <w:r w:rsidR="0071762E" w:rsidRPr="00F6355D">
        <w:t>Justice Stewart wrote, “The central question in this case is whether a person who makes telephone calls from his home is entitled to make a similar assumption about the numbers he dials . . . The numbers dialed from a private telephone – although certainly more prosaic than the conversation itself – are not without ‘content.’ Most private telephone subscribers may have their own numbers listed in a publicly distributed directory</w:t>
      </w:r>
      <w:r w:rsidR="003C74AF" w:rsidRPr="00F6355D">
        <w:t>, but I doubt</w:t>
      </w:r>
      <w:r w:rsidR="0071762E" w:rsidRPr="00F6355D">
        <w:t xml:space="preserve"> there are any who would be happy to have broadcast to the world a list of the local or long distance </w:t>
      </w:r>
      <w:r w:rsidR="00721384" w:rsidRPr="00F6355D">
        <w:t>numbers they have called. This is not because such a list might in some sense be incriminating, but because it easily could reveal the identities of the persons and the places called, and thus reveal the most intimate details of a person’s life.”</w:t>
      </w:r>
      <w:r w:rsidR="00721384" w:rsidRPr="00F6355D">
        <w:rPr>
          <w:rStyle w:val="FootnoteReference"/>
        </w:rPr>
        <w:footnoteReference w:id="38"/>
      </w:r>
    </w:p>
    <w:p w:rsidR="00FD47AF" w:rsidRDefault="00A23B75" w:rsidP="00C3238D">
      <w:pPr>
        <w:spacing w:line="480" w:lineRule="auto"/>
        <w:jc w:val="both"/>
      </w:pPr>
      <w:r w:rsidRPr="00F6355D">
        <w:tab/>
        <w:t>Ju</w:t>
      </w:r>
      <w:r w:rsidR="00E4355B" w:rsidRPr="00F6355D">
        <w:t>stice Marshall’s view came from</w:t>
      </w:r>
      <w:r w:rsidR="00CE68FD" w:rsidRPr="00F6355D">
        <w:t xml:space="preserve"> related </w:t>
      </w:r>
      <w:r w:rsidRPr="00F6355D">
        <w:t>angle. He wrote. “[E]ven assuming, as I do not, that individuals ‘typically know’ that a phone company monitors calls for internal reasons . . . it does not follow that they expect this information to be made available to the public in general or the government in particular</w:t>
      </w:r>
      <w:r w:rsidR="00A07666">
        <w:t xml:space="preserve"> </w:t>
      </w:r>
      <w:r w:rsidRPr="00F6355D">
        <w:t xml:space="preserve">. </w:t>
      </w:r>
      <w:r w:rsidR="00A07666">
        <w:t xml:space="preserve">. . </w:t>
      </w:r>
      <w:r w:rsidR="00D14FA3" w:rsidRPr="00F6355D">
        <w:t>The crux of the Court’s holding, however, is that whatever expectation of privacy petitioner may in fact have entertained regarding his calls, it is not one society is prepared to recognize as reasonable.</w:t>
      </w:r>
      <w:r w:rsidR="00EB3D1E" w:rsidRPr="00F6355D">
        <w:t>”</w:t>
      </w:r>
      <w:r w:rsidR="00FD47AF">
        <w:t xml:space="preserve"> </w:t>
      </w:r>
      <w:r w:rsidR="00D14FA3" w:rsidRPr="00F6355D">
        <w:t>(internal quotations omitted).</w:t>
      </w:r>
      <w:r w:rsidR="00FD47AF" w:rsidRPr="00F6355D">
        <w:rPr>
          <w:rStyle w:val="FootnoteReference"/>
        </w:rPr>
        <w:footnoteReference w:id="39"/>
      </w:r>
      <w:r w:rsidR="007B528C" w:rsidRPr="00F6355D">
        <w:t xml:space="preserve"> </w:t>
      </w:r>
    </w:p>
    <w:p w:rsidR="005E6516" w:rsidRDefault="00FD47AF" w:rsidP="00C3238D">
      <w:pPr>
        <w:spacing w:line="480" w:lineRule="auto"/>
        <w:jc w:val="both"/>
      </w:pPr>
      <w:r>
        <w:tab/>
      </w:r>
      <w:r w:rsidR="006413C0" w:rsidRPr="00F6355D">
        <w:t>T</w:t>
      </w:r>
      <w:r w:rsidR="00AC09A2" w:rsidRPr="00F6355D">
        <w:t xml:space="preserve">hirty-five years </w:t>
      </w:r>
      <w:r w:rsidR="009479D9" w:rsidRPr="00F6355D">
        <w:t xml:space="preserve">since </w:t>
      </w:r>
      <w:r w:rsidR="006413C0" w:rsidRPr="00F6355D">
        <w:t>Justice Marshall penned this opinion his</w:t>
      </w:r>
      <w:r w:rsidR="009479D9" w:rsidRPr="00F6355D">
        <w:t xml:space="preserve"> theory is finally being tested. Recent polls show that a majority </w:t>
      </w:r>
      <w:r w:rsidR="00B34470" w:rsidRPr="00F6355D">
        <w:t>of Americans do not approve of NSA surveillance</w:t>
      </w:r>
      <w:r w:rsidR="009479D9" w:rsidRPr="00F6355D">
        <w:rPr>
          <w:rStyle w:val="FootnoteReference"/>
        </w:rPr>
        <w:footnoteReference w:id="40"/>
      </w:r>
      <w:r w:rsidR="00AC09A2" w:rsidRPr="00F6355D">
        <w:t xml:space="preserve"> </w:t>
      </w:r>
      <w:r w:rsidR="00207B81" w:rsidRPr="00F6355D">
        <w:t xml:space="preserve">and </w:t>
      </w:r>
      <w:r w:rsidR="00110CBF" w:rsidRPr="00F6355D">
        <w:t>in all likelihood</w:t>
      </w:r>
      <w:r w:rsidR="00B34470" w:rsidRPr="00F6355D">
        <w:t xml:space="preserve"> the 215 Program along with the Third-Party Doctrine</w:t>
      </w:r>
      <w:r w:rsidR="00207B81" w:rsidRPr="00F6355D">
        <w:t xml:space="preserve"> will soon be </w:t>
      </w:r>
      <w:r w:rsidR="00110CBF" w:rsidRPr="00F6355D">
        <w:t>scrutinized</w:t>
      </w:r>
      <w:r w:rsidR="00207B81" w:rsidRPr="00F6355D">
        <w:t xml:space="preserve"> in Congress and before the Supreme Court.</w:t>
      </w:r>
      <w:r w:rsidR="008D5CD5" w:rsidRPr="00F6355D">
        <w:t xml:space="preserve"> </w:t>
      </w:r>
    </w:p>
    <w:p w:rsidR="005E6516" w:rsidRPr="00F6355D" w:rsidRDefault="005E6516" w:rsidP="005E6516">
      <w:pPr>
        <w:pStyle w:val="TOC40"/>
        <w:spacing w:line="480" w:lineRule="auto"/>
        <w:jc w:val="both"/>
        <w:rPr>
          <w:u w:val="single"/>
        </w:rPr>
      </w:pPr>
      <w:r>
        <w:t>V</w:t>
      </w:r>
      <w:r w:rsidR="0050432F">
        <w:t>II</w:t>
      </w:r>
      <w:r w:rsidRPr="00F6355D">
        <w:rPr>
          <w:u w:val="single"/>
        </w:rPr>
        <w:t xml:space="preserve">I. </w:t>
      </w:r>
      <w:r w:rsidRPr="00F6355D">
        <w:rPr>
          <w:u w:val="single"/>
        </w:rPr>
        <w:tab/>
        <w:t>215 Program: Seizure Under the Fourth Amendment?</w:t>
      </w:r>
    </w:p>
    <w:p w:rsidR="005E6516" w:rsidRPr="00F6355D" w:rsidRDefault="0050432F" w:rsidP="005E6516">
      <w:pPr>
        <w:spacing w:line="480" w:lineRule="auto"/>
        <w:jc w:val="both"/>
      </w:pPr>
      <w:r>
        <w:tab/>
        <w:t>As a final note to our Fourth Amendment analysis, it might be interesting to pose the question of whether th</w:t>
      </w:r>
      <w:r w:rsidR="00527885">
        <w:t>e 215 Program could constitute</w:t>
      </w:r>
      <w:r>
        <w:t xml:space="preserve"> </w:t>
      </w:r>
      <w:r w:rsidR="001C18E3">
        <w:t xml:space="preserve">a </w:t>
      </w:r>
      <w:r>
        <w:t>seizure under the Fourth Amendment. T</w:t>
      </w:r>
      <w:r w:rsidR="005E6516" w:rsidRPr="00F6355D">
        <w:t xml:space="preserve">here has been little-to-no discussion about whether or not the 215 Program </w:t>
      </w:r>
      <w:r w:rsidR="00527885">
        <w:t>could be considered</w:t>
      </w:r>
      <w:r w:rsidR="005E6516" w:rsidRPr="00F6355D">
        <w:t xml:space="preserve"> a seizure; rather most cases </w:t>
      </w:r>
      <w:r w:rsidR="00527885">
        <w:t>and commentary assert that the Program</w:t>
      </w:r>
      <w:r w:rsidR="005E6516" w:rsidRPr="00F6355D">
        <w:t xml:space="preserve"> violate</w:t>
      </w:r>
      <w:r w:rsidR="00527885">
        <w:t>s</w:t>
      </w:r>
      <w:r w:rsidR="005E6516" w:rsidRPr="00F6355D">
        <w:t xml:space="preserve"> the search component of the Fourth Amendment. Defenders say that Fourth Amendment privacy interests are not implicated by the </w:t>
      </w:r>
      <w:r w:rsidR="005E6516" w:rsidRPr="00F6355D">
        <w:rPr>
          <w:i/>
        </w:rPr>
        <w:t>collection</w:t>
      </w:r>
      <w:r w:rsidR="005E6516" w:rsidRPr="00F6355D">
        <w:t xml:space="preserve"> of data and that the vast amount of oversight needed in order to search the already collected data provides the need</w:t>
      </w:r>
      <w:r w:rsidR="005E6516">
        <w:t>ed Constitutional protections</w:t>
      </w:r>
      <w:r w:rsidR="005E6516" w:rsidRPr="00F6355D">
        <w:t>.</w:t>
      </w:r>
      <w:r w:rsidR="005E6516" w:rsidRPr="00F6355D">
        <w:rPr>
          <w:rStyle w:val="FootnoteReference"/>
        </w:rPr>
        <w:footnoteReference w:id="41"/>
      </w:r>
      <w:r w:rsidR="005E6516" w:rsidRPr="00F6355D">
        <w:t xml:space="preserve">  The only reasoning I can account for the omission is that perhaps it is generally accepted by both critics and advocates </w:t>
      </w:r>
      <w:r w:rsidR="005E6516">
        <w:t xml:space="preserve">of the Program </w:t>
      </w:r>
      <w:r w:rsidR="005E6516" w:rsidRPr="00F6355D">
        <w:t>that business records are wholly owned by the companies who collect and store them. T</w:t>
      </w:r>
      <w:r w:rsidR="006C3885">
        <w:t>he government briefly</w:t>
      </w:r>
      <w:r w:rsidR="005E6516" w:rsidRPr="00F6355D">
        <w:t xml:space="preserve"> argued this point in the preliminary statement in their motion to dismiss the ACLU case and later when arguing that </w:t>
      </w:r>
      <w:r w:rsidR="009B32B5">
        <w:t>the Third Party Doctrine applied</w:t>
      </w:r>
      <w:r w:rsidR="005E6516" w:rsidRPr="00F6355D">
        <w:t>.</w:t>
      </w:r>
      <w:r w:rsidR="005E6516" w:rsidRPr="00F6355D">
        <w:rPr>
          <w:rStyle w:val="FootnoteReference"/>
        </w:rPr>
        <w:footnoteReference w:id="42"/>
      </w:r>
      <w:r w:rsidR="005E6516" w:rsidRPr="00F6355D">
        <w:t xml:space="preserve"> If the records are willingly handed over by companies to the Government, that is to say, the records have not been seized without consent, does this mean that the Government does not need a warrant or even a subpoena? </w:t>
      </w:r>
    </w:p>
    <w:p w:rsidR="005E6516" w:rsidRPr="00F6355D" w:rsidRDefault="005E6516" w:rsidP="005E6516">
      <w:pPr>
        <w:spacing w:line="480" w:lineRule="auto"/>
        <w:jc w:val="both"/>
      </w:pPr>
      <w:r w:rsidRPr="00F6355D">
        <w:tab/>
        <w:t xml:space="preserve">This </w:t>
      </w:r>
      <w:r>
        <w:t>begs</w:t>
      </w:r>
      <w:r w:rsidRPr="00F6355D">
        <w:t xml:space="preserve"> the question</w:t>
      </w:r>
      <w:r>
        <w:t xml:space="preserve"> of</w:t>
      </w:r>
      <w:r w:rsidRPr="00F6355D">
        <w:t xml:space="preserve"> who </w:t>
      </w:r>
      <w:r w:rsidRPr="00F6355D">
        <w:rPr>
          <w:i/>
        </w:rPr>
        <w:t>owns</w:t>
      </w:r>
      <w:r w:rsidRPr="00F6355D">
        <w:t xml:space="preserve"> metadata. Judge Pauley writes in his decision to dismiss the ACLU case, “[T]he business records created by Verizon are not ‘Plaintiff’s call records.’ Those records are created and maintained by the telecommunications provider, not the ACLU.”</w:t>
      </w:r>
      <w:r w:rsidRPr="00F6355D">
        <w:rPr>
          <w:rStyle w:val="FootnoteReference"/>
        </w:rPr>
        <w:footnoteReference w:id="43"/>
      </w:r>
      <w:r w:rsidRPr="00F6355D">
        <w:t xml:space="preserve"> But couldn’t it be argued that because metadata are created by the individual – </w:t>
      </w:r>
      <w:r w:rsidR="00CF3C20">
        <w:t>that the data</w:t>
      </w:r>
      <w:r>
        <w:t xml:space="preserve"> would not exist if</w:t>
      </w:r>
      <w:r w:rsidRPr="00F6355D">
        <w:t xml:space="preserve"> not for the individual </w:t>
      </w:r>
      <w:r w:rsidRPr="00F6355D">
        <w:softHyphen/>
        <w:t xml:space="preserve">– proprietary rights or interests should be extended to the individual? </w:t>
      </w:r>
    </w:p>
    <w:p w:rsidR="00485262" w:rsidRPr="00F6355D" w:rsidRDefault="005E6516" w:rsidP="005E6516">
      <w:pPr>
        <w:spacing w:line="480" w:lineRule="auto"/>
        <w:jc w:val="both"/>
      </w:pPr>
      <w:r w:rsidRPr="00F6355D">
        <w:tab/>
        <w:t>The question of overall ownership of metadata might be a</w:t>
      </w:r>
      <w:r>
        <w:t>n</w:t>
      </w:r>
      <w:r w:rsidRPr="00F6355D">
        <w:t xml:space="preserve"> </w:t>
      </w:r>
      <w:r>
        <w:t>interesting</w:t>
      </w:r>
      <w:r w:rsidRPr="00F6355D">
        <w:t xml:space="preserve"> one to ask</w:t>
      </w:r>
      <w:r>
        <w:t xml:space="preserve">. </w:t>
      </w:r>
      <w:r w:rsidRPr="00F6355D">
        <w:t xml:space="preserve">As metadata has proven to be financially profitable for marketing purposes and seized for surveillance purposes, the individual is left completely out of the loop. </w:t>
      </w:r>
    </w:p>
    <w:p w:rsidR="00D97301" w:rsidRDefault="00D97301" w:rsidP="00D72BD1">
      <w:pPr>
        <w:pStyle w:val="TOC3"/>
        <w:rPr>
          <w:b/>
        </w:rPr>
      </w:pPr>
    </w:p>
    <w:p w:rsidR="00D97301" w:rsidRDefault="00D97301" w:rsidP="00D72BD1">
      <w:pPr>
        <w:pStyle w:val="TOC3"/>
        <w:rPr>
          <w:b/>
        </w:rPr>
      </w:pPr>
    </w:p>
    <w:p w:rsidR="00827DD6" w:rsidRPr="00166F00" w:rsidRDefault="0071691C" w:rsidP="00D72BD1">
      <w:pPr>
        <w:pStyle w:val="TOC3"/>
        <w:rPr>
          <w:b/>
        </w:rPr>
      </w:pPr>
      <w:r w:rsidRPr="00166F00">
        <w:rPr>
          <w:b/>
        </w:rPr>
        <w:t>5</w:t>
      </w:r>
      <w:r w:rsidR="00485262" w:rsidRPr="00166F00">
        <w:rPr>
          <w:b/>
        </w:rPr>
        <w:t>. Fifth Amendment</w:t>
      </w:r>
    </w:p>
    <w:p w:rsidR="001D4A90" w:rsidRPr="00F6355D" w:rsidRDefault="00C6109B" w:rsidP="00C3238D">
      <w:pPr>
        <w:spacing w:line="480" w:lineRule="auto"/>
        <w:jc w:val="both"/>
      </w:pPr>
      <w:r w:rsidRPr="00F6355D">
        <w:tab/>
        <w:t xml:space="preserve">In </w:t>
      </w:r>
      <w:r w:rsidRPr="00F6355D">
        <w:rPr>
          <w:i/>
        </w:rPr>
        <w:t>Klaymen v. Obama</w:t>
      </w:r>
      <w:r w:rsidRPr="00F6355D">
        <w:t>, Plaintiffs assert that they have demonstrated a Fifth Amendment claim as they have, “an individual privacy interests in their internet communications online activities, which reveals sensitive, confidential information about their personal, political and religious activities and which Plaintiffs do not ordinarily disclose to the public or to the government . . . Plaintiffs’ Fifth Amendment constitutional rights were clearly violated the moments Defendants provided and the NSA obtained direct and unlimited access and authority to obtain vast quantities of communication records contained in Defendants’ vast databases, which inherently includes communication records belong to Plaintiffs.”</w:t>
      </w:r>
      <w:r w:rsidR="00CF3C20">
        <w:t xml:space="preserve"> </w:t>
      </w:r>
      <w:r w:rsidRPr="00F6355D">
        <w:t>[sic]</w:t>
      </w:r>
      <w:r w:rsidR="00CF3C20">
        <w:t>.</w:t>
      </w:r>
      <w:r w:rsidR="00CF3C20" w:rsidRPr="00F6355D">
        <w:rPr>
          <w:rStyle w:val="FootnoteReference"/>
        </w:rPr>
        <w:footnoteReference w:id="44"/>
      </w:r>
      <w:r w:rsidRPr="00F6355D">
        <w:t xml:space="preserve"> I believe what Klayman is aiming at in </w:t>
      </w:r>
      <w:r w:rsidR="00987677">
        <w:t>his</w:t>
      </w:r>
      <w:r w:rsidRPr="00F6355D">
        <w:t xml:space="preserve"> Fifth Amendment claim is the final line of the text which reads, “No person shall . . . be deprived of life, liberty, or property, without due process of law; nor shall private property be taken for public use, without just compensation.”</w:t>
      </w:r>
      <w:r w:rsidRPr="00F6355D">
        <w:rPr>
          <w:rStyle w:val="FootnoteReference"/>
        </w:rPr>
        <w:footnoteReference w:id="45"/>
      </w:r>
      <w:r w:rsidRPr="00F6355D">
        <w:t xml:space="preserve"> But it is a stretch to get there. Perhaps this is why the ACLU did not claim Fifth Amendment rights violation, Judge Leon did not address it in his decision, </w:t>
      </w:r>
      <w:r w:rsidR="000C4884">
        <w:t xml:space="preserve">the PCLOB did not report on it, </w:t>
      </w:r>
      <w:r w:rsidRPr="00F6355D">
        <w:t xml:space="preserve">and it has gotten little or no </w:t>
      </w:r>
      <w:r w:rsidR="00EB0093" w:rsidRPr="00F6355D">
        <w:t>lip service</w:t>
      </w:r>
      <w:r w:rsidRPr="00F6355D">
        <w:t xml:space="preserve"> in the media.   </w:t>
      </w:r>
    </w:p>
    <w:p w:rsidR="00A7760E" w:rsidRPr="00F6355D" w:rsidRDefault="001D4A90" w:rsidP="00D72BD1">
      <w:pPr>
        <w:pStyle w:val="TOC2"/>
      </w:pPr>
      <w:r w:rsidRPr="00F6355D">
        <w:t xml:space="preserve">B. </w:t>
      </w:r>
      <w:r w:rsidRPr="00F6355D">
        <w:tab/>
        <w:t>Statutory Claims</w:t>
      </w:r>
    </w:p>
    <w:p w:rsidR="00C362F1" w:rsidRPr="00F6355D" w:rsidRDefault="00C362F1" w:rsidP="00C3238D">
      <w:pPr>
        <w:spacing w:line="480" w:lineRule="auto"/>
        <w:jc w:val="both"/>
      </w:pPr>
      <w:r w:rsidRPr="00F6355D">
        <w:tab/>
        <w:t>Among the critiques of bulk metadata collection is one that stands out as being particularly tricky</w:t>
      </w:r>
      <w:r w:rsidR="00C6109B" w:rsidRPr="00F6355D">
        <w:t xml:space="preserve"> – that of exceeding statutory limitations. This section will examine the claims of statutory excesses and the responses of Judges Pauley and Leon as well as the findings of the PCLOB report. </w:t>
      </w:r>
    </w:p>
    <w:p w:rsidR="007B68D5" w:rsidRPr="00F6355D" w:rsidRDefault="00C6109B" w:rsidP="00D72BD1">
      <w:pPr>
        <w:pStyle w:val="TOC3"/>
      </w:pPr>
      <w:r w:rsidRPr="00F6355D">
        <w:t>1. ACLU</w:t>
      </w:r>
      <w:r w:rsidR="007F33AF">
        <w:t xml:space="preserve"> v. Clapper</w:t>
      </w:r>
    </w:p>
    <w:p w:rsidR="00FF50EE" w:rsidRPr="00F6355D" w:rsidRDefault="00C6109B" w:rsidP="00C3238D">
      <w:pPr>
        <w:spacing w:line="480" w:lineRule="auto"/>
        <w:jc w:val="both"/>
      </w:pPr>
      <w:r w:rsidRPr="00F6355D">
        <w:tab/>
      </w:r>
      <w:r w:rsidR="00A647C4">
        <w:t xml:space="preserve"> T</w:t>
      </w:r>
      <w:r w:rsidRPr="00F6355D">
        <w:t>he ACLU outline</w:t>
      </w:r>
      <w:r w:rsidR="001C64B9">
        <w:t>s</w:t>
      </w:r>
      <w:r w:rsidRPr="00F6355D">
        <w:t xml:space="preserve"> three reasons why the 215 Program is not authorized by the statute. First, they reject the notion that detailed call records concerning every call made in the United States over a seven-year period is relevant to an authorized investigation. Second, the 215 Program, “impermissibly transforms a statutory provision that was meant to permit the collection of existing records into one that permits the ongoing collection of records not yet in existence.” And third, “the program replaces judicial supervision over the acquisition of information with executive discretion over the later use of information. The mass call-tracking program is the product of statutory alchemy; there is simply no way to justify it without rewriting the statute altogether.”</w:t>
      </w:r>
      <w:r w:rsidRPr="00F6355D">
        <w:rPr>
          <w:rStyle w:val="FootnoteReference"/>
        </w:rPr>
        <w:footnoteReference w:id="46"/>
      </w:r>
    </w:p>
    <w:p w:rsidR="00CB6160" w:rsidRPr="009A686A" w:rsidRDefault="00C6109B" w:rsidP="00C3238D">
      <w:pPr>
        <w:spacing w:line="480" w:lineRule="auto"/>
        <w:jc w:val="both"/>
        <w:rPr>
          <w:sz w:val="23"/>
          <w:szCs w:val="23"/>
        </w:rPr>
      </w:pPr>
      <w:r w:rsidRPr="00F6355D">
        <w:tab/>
        <w:t>The Government</w:t>
      </w:r>
      <w:r w:rsidR="00A97098">
        <w:t xml:space="preserve">, however, </w:t>
      </w:r>
      <w:r w:rsidR="000C4EA6">
        <w:t>maintains</w:t>
      </w:r>
      <w:r w:rsidRPr="00F6355D">
        <w:t xml:space="preserve"> that Congress intended Section 215 to incorporate a broad meaning of relevance and </w:t>
      </w:r>
      <w:r w:rsidR="00815076">
        <w:t xml:space="preserve">point to </w:t>
      </w:r>
      <w:r w:rsidR="000C4EA6">
        <w:t xml:space="preserve">areas in which </w:t>
      </w:r>
      <w:r w:rsidR="00815076">
        <w:t>relevancy</w:t>
      </w:r>
      <w:r w:rsidR="00815076" w:rsidRPr="00F6355D">
        <w:t xml:space="preserve"> has an even larger legal definition</w:t>
      </w:r>
      <w:r w:rsidR="000B484B">
        <w:t>,</w:t>
      </w:r>
      <w:r w:rsidR="00815076">
        <w:t xml:space="preserve"> such as </w:t>
      </w:r>
      <w:r w:rsidRPr="00F6355D">
        <w:t>official investigations, grand jury s</w:t>
      </w:r>
      <w:r w:rsidR="00815076">
        <w:t>ubpoenas, and civil proceedings</w:t>
      </w:r>
      <w:r w:rsidRPr="00F6355D">
        <w:t>.</w:t>
      </w:r>
      <w:r w:rsidRPr="00F6355D">
        <w:rPr>
          <w:rStyle w:val="FootnoteReference"/>
        </w:rPr>
        <w:footnoteReference w:id="47"/>
      </w:r>
      <w:r w:rsidR="00815076">
        <w:t xml:space="preserve"> </w:t>
      </w:r>
      <w:r w:rsidR="00396F85">
        <w:t xml:space="preserve">The Government’s reasoning for this broad definition of </w:t>
      </w:r>
      <w:r w:rsidR="006D4617">
        <w:t>‘</w:t>
      </w:r>
      <w:r w:rsidR="00396F85">
        <w:t>relevant</w:t>
      </w:r>
      <w:r w:rsidR="006D4617">
        <w:t>’</w:t>
      </w:r>
      <w:r w:rsidR="00396F85">
        <w:t xml:space="preserve"> is based upon the analytic and techno</w:t>
      </w:r>
      <w:r w:rsidR="00666EB3">
        <w:t>logical capabilities of the NSA, not necessarily the letter of the law;</w:t>
      </w:r>
      <w:r w:rsidR="00396F85">
        <w:t xml:space="preserve"> </w:t>
      </w:r>
      <w:r w:rsidRPr="00F6355D">
        <w:t xml:space="preserve">“Collecting these data </w:t>
      </w:r>
      <w:r w:rsidRPr="00F6355D">
        <w:rPr>
          <w:sz w:val="23"/>
          <w:szCs w:val="23"/>
        </w:rPr>
        <w:t>is necessary to the effective use of NSA analytical tools, which, when applied to the data, produce information that can help identify clandestine terrorist operatives or networks within the United States. That process is not feasible without bulk collection of the data, because NSA analysts cannot know in advance which of the many phone numbers obtained might have connections to known or suspected terrorists.”</w:t>
      </w:r>
      <w:r w:rsidRPr="00F6355D">
        <w:rPr>
          <w:rStyle w:val="FootnoteReference"/>
          <w:sz w:val="23"/>
          <w:szCs w:val="23"/>
        </w:rPr>
        <w:footnoteReference w:id="48"/>
      </w:r>
      <w:r w:rsidRPr="00F6355D">
        <w:rPr>
          <w:sz w:val="23"/>
          <w:szCs w:val="23"/>
        </w:rPr>
        <w:t xml:space="preserve"> </w:t>
      </w:r>
      <w:r w:rsidR="00CB6160">
        <w:rPr>
          <w:sz w:val="23"/>
          <w:szCs w:val="23"/>
        </w:rPr>
        <w:t>Even Judge Pauley found that, “This blunt tool works only because it collects everything.”</w:t>
      </w:r>
      <w:r w:rsidR="00CB6160">
        <w:rPr>
          <w:rStyle w:val="FootnoteReference"/>
          <w:sz w:val="23"/>
          <w:szCs w:val="23"/>
        </w:rPr>
        <w:footnoteReference w:id="49"/>
      </w:r>
      <w:r w:rsidR="00CB6160">
        <w:rPr>
          <w:sz w:val="23"/>
          <w:szCs w:val="23"/>
        </w:rPr>
        <w:t xml:space="preserve"> This, as it turns out, may not be the case</w:t>
      </w:r>
      <w:r w:rsidR="00D04289">
        <w:rPr>
          <w:sz w:val="23"/>
          <w:szCs w:val="23"/>
        </w:rPr>
        <w:t>.</w:t>
      </w:r>
      <w:r w:rsidR="00CB6160">
        <w:rPr>
          <w:sz w:val="23"/>
          <w:szCs w:val="23"/>
        </w:rPr>
        <w:t xml:space="preserve"> President Obama has commissioned the Attorney General and </w:t>
      </w:r>
      <w:r w:rsidR="00B45ECE">
        <w:rPr>
          <w:sz w:val="23"/>
          <w:szCs w:val="23"/>
        </w:rPr>
        <w:t xml:space="preserve">senior intelligence officials to find an alternative that would eliminate bulk collection but maintain the NSA’s analytic capabilities. </w:t>
      </w:r>
      <w:r w:rsidR="00D04289">
        <w:rPr>
          <w:sz w:val="23"/>
          <w:szCs w:val="23"/>
        </w:rPr>
        <w:t xml:space="preserve">And </w:t>
      </w:r>
      <w:r w:rsidR="00B45ECE">
        <w:rPr>
          <w:sz w:val="23"/>
          <w:szCs w:val="23"/>
        </w:rPr>
        <w:t>Pro</w:t>
      </w:r>
      <w:r w:rsidR="009A686A">
        <w:rPr>
          <w:sz w:val="23"/>
          <w:szCs w:val="23"/>
        </w:rPr>
        <w:t xml:space="preserve">fessor Edward W. Felton, Director of the Center for Information Technology Policy and professor of Computer Science and Public affairs at Princeton University, filed a declaration in connection with </w:t>
      </w:r>
      <w:r w:rsidR="009A686A">
        <w:rPr>
          <w:i/>
          <w:sz w:val="23"/>
          <w:szCs w:val="23"/>
        </w:rPr>
        <w:t xml:space="preserve">ACLU </w:t>
      </w:r>
      <w:r w:rsidR="00DE06BB">
        <w:rPr>
          <w:sz w:val="23"/>
          <w:szCs w:val="23"/>
        </w:rPr>
        <w:t xml:space="preserve">denouncing the need for bulk metadata collection and </w:t>
      </w:r>
      <w:r w:rsidR="009A686A">
        <w:rPr>
          <w:sz w:val="23"/>
          <w:szCs w:val="23"/>
        </w:rPr>
        <w:t>detailing a scheme that w</w:t>
      </w:r>
      <w:r w:rsidR="00882FF2">
        <w:rPr>
          <w:sz w:val="23"/>
          <w:szCs w:val="23"/>
        </w:rPr>
        <w:t xml:space="preserve">ould allow the government to </w:t>
      </w:r>
      <w:r w:rsidR="009031B0">
        <w:rPr>
          <w:sz w:val="23"/>
          <w:szCs w:val="23"/>
        </w:rPr>
        <w:t>“</w:t>
      </w:r>
      <w:r w:rsidR="00882FF2">
        <w:rPr>
          <w:sz w:val="23"/>
          <w:szCs w:val="23"/>
        </w:rPr>
        <w:t>perform three-hop ana</w:t>
      </w:r>
      <w:r w:rsidR="009031B0">
        <w:rPr>
          <w:sz w:val="23"/>
          <w:szCs w:val="23"/>
        </w:rPr>
        <w:t>lysis without first building its own database of every American’s call records.”</w:t>
      </w:r>
      <w:r w:rsidR="009031B0">
        <w:rPr>
          <w:rStyle w:val="FootnoteReference"/>
          <w:sz w:val="23"/>
          <w:szCs w:val="23"/>
        </w:rPr>
        <w:footnoteReference w:id="50"/>
      </w:r>
      <w:r w:rsidR="00DE06BB">
        <w:rPr>
          <w:sz w:val="23"/>
          <w:szCs w:val="23"/>
        </w:rPr>
        <w:t xml:space="preserve"> </w:t>
      </w:r>
    </w:p>
    <w:p w:rsidR="00127D67" w:rsidRDefault="00CB6160" w:rsidP="00C3238D">
      <w:pPr>
        <w:spacing w:line="480" w:lineRule="auto"/>
        <w:jc w:val="both"/>
      </w:pPr>
      <w:r>
        <w:rPr>
          <w:sz w:val="23"/>
          <w:szCs w:val="23"/>
        </w:rPr>
        <w:tab/>
      </w:r>
      <w:r w:rsidR="008F5DE3" w:rsidRPr="00F6355D">
        <w:t xml:space="preserve">Further, </w:t>
      </w:r>
      <w:r w:rsidR="002B2D43" w:rsidRPr="00F6355D">
        <w:t xml:space="preserve">the Government asserts that </w:t>
      </w:r>
      <w:r w:rsidR="008F5DE3" w:rsidRPr="00F6355D">
        <w:t xml:space="preserve">Congress </w:t>
      </w:r>
      <w:r w:rsidR="00666EB3">
        <w:t>was aware</w:t>
      </w:r>
      <w:r w:rsidR="008F5DE3" w:rsidRPr="00F6355D">
        <w:t xml:space="preserve"> of the practice of bulk metadata collection </w:t>
      </w:r>
      <w:r w:rsidR="00E81E0F">
        <w:t>but</w:t>
      </w:r>
      <w:r w:rsidR="008F5DE3" w:rsidRPr="00F6355D">
        <w:t xml:space="preserve"> reauthorized </w:t>
      </w:r>
      <w:r w:rsidR="000B484B">
        <w:t>Section 215</w:t>
      </w:r>
      <w:r w:rsidR="00C6109B" w:rsidRPr="00F6355D">
        <w:t xml:space="preserve"> wit</w:t>
      </w:r>
      <w:r w:rsidR="000B484B">
        <w:t>hout change</w:t>
      </w:r>
      <w:r w:rsidR="00C6109B" w:rsidRPr="00F6355D">
        <w:t xml:space="preserve"> in 2010 and 2011. </w:t>
      </w:r>
      <w:r w:rsidR="00E81E0F">
        <w:t>This is proof positive that the Program legi</w:t>
      </w:r>
      <w:r w:rsidR="00701F3B">
        <w:t>timately adheres to the statute.</w:t>
      </w:r>
      <w:r w:rsidR="00E81E0F">
        <w:t xml:space="preserve"> </w:t>
      </w:r>
      <w:r w:rsidR="00C6109B" w:rsidRPr="00F6355D">
        <w:t>The Government goes on to say, “</w:t>
      </w:r>
      <w:r w:rsidR="00C6109B" w:rsidRPr="00F6355D">
        <w:rPr>
          <w:sz w:val="23"/>
          <w:szCs w:val="23"/>
        </w:rPr>
        <w:t>Imposing a limiting construction now on Section 215’s relevance standard that would prohibit bulk collection of telephony metadata would be contrary to the express understanding of the statute that Congress ratified on two separate occasions.”</w:t>
      </w:r>
      <w:r w:rsidR="00C6109B" w:rsidRPr="00F6355D">
        <w:rPr>
          <w:rStyle w:val="FootnoteReference"/>
          <w:sz w:val="23"/>
          <w:szCs w:val="23"/>
        </w:rPr>
        <w:footnoteReference w:id="51"/>
      </w:r>
      <w:r w:rsidR="00C6109B" w:rsidRPr="00F6355D">
        <w:rPr>
          <w:sz w:val="23"/>
          <w:szCs w:val="23"/>
        </w:rPr>
        <w:t xml:space="preserve"> The Government adds that not</w:t>
      </w:r>
      <w:r w:rsidR="00701F3B">
        <w:rPr>
          <w:sz w:val="23"/>
          <w:szCs w:val="23"/>
        </w:rPr>
        <w:t>h</w:t>
      </w:r>
      <w:r w:rsidR="00C6109B" w:rsidRPr="00F6355D">
        <w:rPr>
          <w:sz w:val="23"/>
          <w:szCs w:val="23"/>
        </w:rPr>
        <w:t xml:space="preserve">ing in the text of Section 215 prohibits the collection of records as they are generated; a point that was, as we will see in subsection </w:t>
      </w:r>
      <w:r w:rsidR="00701F3B">
        <w:rPr>
          <w:sz w:val="23"/>
          <w:szCs w:val="23"/>
        </w:rPr>
        <w:t>five</w:t>
      </w:r>
      <w:r w:rsidR="00C6109B" w:rsidRPr="00F6355D">
        <w:rPr>
          <w:sz w:val="23"/>
          <w:szCs w:val="23"/>
        </w:rPr>
        <w:t xml:space="preserve"> below, </w:t>
      </w:r>
      <w:r w:rsidR="00701F3B">
        <w:rPr>
          <w:sz w:val="23"/>
          <w:szCs w:val="23"/>
        </w:rPr>
        <w:t>vehemently rejected by the PCLOB</w:t>
      </w:r>
      <w:r w:rsidR="00C6109B" w:rsidRPr="00F6355D">
        <w:rPr>
          <w:i/>
          <w:sz w:val="23"/>
          <w:szCs w:val="23"/>
        </w:rPr>
        <w:t xml:space="preserve">. </w:t>
      </w:r>
      <w:r w:rsidR="00C6109B" w:rsidRPr="00F6355D">
        <w:rPr>
          <w:sz w:val="23"/>
          <w:szCs w:val="23"/>
        </w:rPr>
        <w:t>In defending the Program’s production of future records, the Government states, “That requested information is not created until after a FISC order has been rendered, and is produced on an ongoing basis, does not affect its basic character as ‘documents,’ ‘records,’ or ‘other tangible things’ subject to the production under the statute.”</w:t>
      </w:r>
      <w:r w:rsidR="00C6109B" w:rsidRPr="00F6355D">
        <w:rPr>
          <w:rStyle w:val="FootnoteReference"/>
          <w:sz w:val="23"/>
          <w:szCs w:val="23"/>
        </w:rPr>
        <w:footnoteReference w:id="52"/>
      </w:r>
    </w:p>
    <w:p w:rsidR="00A8505E" w:rsidRDefault="00127D67" w:rsidP="00C3238D">
      <w:pPr>
        <w:spacing w:line="480" w:lineRule="auto"/>
        <w:jc w:val="both"/>
      </w:pPr>
      <w:r>
        <w:tab/>
      </w:r>
      <w:r w:rsidR="000E2041">
        <w:t>Judge Pauley moves through a number of points t</w:t>
      </w:r>
      <w:r w:rsidR="0009168C">
        <w:t>o support his finding that the 215 Program does not exceed the limits of the statute. He begins by refuting the ACLU’s claim that mass metadata collection results in a large portion of irrelevant information. Pauley states, “Tha</w:t>
      </w:r>
      <w:r w:rsidR="00E83830">
        <w:t>t argument has no traction here</w:t>
      </w:r>
      <w:r w:rsidR="0009168C">
        <w:t>”</w:t>
      </w:r>
      <w:r w:rsidR="00E83830">
        <w:t xml:space="preserve"> because the government needs to collect all data points, otherwise it cannot be certain that it has connected the pertinent ones.</w:t>
      </w:r>
      <w:r w:rsidR="0009168C">
        <w:rPr>
          <w:rStyle w:val="FootnoteReference"/>
        </w:rPr>
        <w:footnoteReference w:id="53"/>
      </w:r>
      <w:r w:rsidR="0009168C">
        <w:t xml:space="preserve"> </w:t>
      </w:r>
      <w:r w:rsidR="00393EB7">
        <w:t>Interestingly, Pauley then elaborates on the FISC’s practice of issuing order</w:t>
      </w:r>
      <w:r w:rsidR="000A4311">
        <w:t>s</w:t>
      </w:r>
      <w:r w:rsidR="00393EB7">
        <w:t xml:space="preserve"> </w:t>
      </w:r>
      <w:r w:rsidR="000A4311">
        <w:t xml:space="preserve">and minimization procedure </w:t>
      </w:r>
      <w:r w:rsidR="00393EB7">
        <w:t>to the NSA</w:t>
      </w:r>
      <w:r w:rsidR="000A4311">
        <w:t xml:space="preserve">, but in the same breath states that Section 215 “contemplates that tangible items will be produced to the FBI[.]” </w:t>
      </w:r>
      <w:r w:rsidR="004C1449">
        <w:t xml:space="preserve">He concludes that “Without those minimization procedures, FISC would not issue any section 215 orders for bulk telephony metadata collection”, but does not contemplate at all the anomaly inherent in a system that does not adhere to the statute’s </w:t>
      </w:r>
      <w:r w:rsidR="00973B82">
        <w:t xml:space="preserve">clear directive that items will be produced to the </w:t>
      </w:r>
      <w:r w:rsidR="00973B82" w:rsidRPr="00973B82">
        <w:rPr>
          <w:i/>
        </w:rPr>
        <w:t>FBI</w:t>
      </w:r>
      <w:r w:rsidR="00A8505E">
        <w:t>.</w:t>
      </w:r>
      <w:r w:rsidR="00A8505E">
        <w:rPr>
          <w:rStyle w:val="FootnoteReference"/>
        </w:rPr>
        <w:footnoteReference w:id="54"/>
      </w:r>
      <w:r w:rsidR="0027502B">
        <w:t xml:space="preserve"> This appears to be a fundamental breakdown in separation of powers, where the FISC has usurped the authority of Congress and determined that the tangible items received as a result of a production order will go </w:t>
      </w:r>
      <w:r w:rsidR="0027502B" w:rsidRPr="005B5076">
        <w:rPr>
          <w:i/>
        </w:rPr>
        <w:t>not</w:t>
      </w:r>
      <w:r w:rsidR="0027502B">
        <w:t xml:space="preserve"> to the FBI</w:t>
      </w:r>
      <w:r w:rsidR="00D359F7">
        <w:t>,</w:t>
      </w:r>
      <w:r w:rsidR="0027502B">
        <w:t xml:space="preserve"> as stipulated </w:t>
      </w:r>
      <w:r w:rsidR="00973B82">
        <w:t>by</w:t>
      </w:r>
      <w:r w:rsidR="0027502B">
        <w:t xml:space="preserve"> the statute, but instead to the NSA.</w:t>
      </w:r>
      <w:r w:rsidR="00EC2862">
        <w:t xml:space="preserve"> </w:t>
      </w:r>
      <w:r w:rsidR="001304C9">
        <w:t xml:space="preserve">It is unfathomable that Judge Pauley does not address this potentially grievous violation of the law. </w:t>
      </w:r>
    </w:p>
    <w:p w:rsidR="008404BB" w:rsidRPr="00F6355D" w:rsidRDefault="00A8505E" w:rsidP="00C3238D">
      <w:pPr>
        <w:spacing w:line="480" w:lineRule="auto"/>
        <w:jc w:val="both"/>
      </w:pPr>
      <w:r>
        <w:tab/>
      </w:r>
      <w:r w:rsidR="004C1449">
        <w:t xml:space="preserve"> </w:t>
      </w:r>
      <w:r w:rsidR="005B5076">
        <w:t xml:space="preserve">Judge </w:t>
      </w:r>
      <w:r w:rsidR="009F0740">
        <w:t xml:space="preserve">Pauley </w:t>
      </w:r>
      <w:r w:rsidR="005B5076">
        <w:t xml:space="preserve">then goes on to </w:t>
      </w:r>
      <w:r w:rsidR="00A35B91">
        <w:t xml:space="preserve">elucidate the </w:t>
      </w:r>
      <w:r w:rsidR="00D359F7">
        <w:t xml:space="preserve">legal </w:t>
      </w:r>
      <w:r w:rsidR="00A35B91">
        <w:t xml:space="preserve">meaning of relevancy. He </w:t>
      </w:r>
      <w:r w:rsidR="009F0740">
        <w:t>writes, “</w:t>
      </w:r>
      <w:r w:rsidR="00A35B91">
        <w:t>Relevance has a broad legal meaning. The Federal Rules of Civil Procedure allow parties to obtain</w:t>
      </w:r>
      <w:r w:rsidR="001F7D24">
        <w:t xml:space="preserve"> discovery regarding any nonprivileged matter that is relevant to any party’s claim or defense. This rule has been construed broadly to encompass any matter that bears on, or that reasonably could lead to other matter that could bear on, any issue that is or may be in the case. Tangible items are relevant under section 215 if they bear on or could reasonably lead to other matter that could bear on the investigation. </w:t>
      </w:r>
      <w:r w:rsidR="009F0740">
        <w:t>Under Section 215, the Government’s burden is not substantial. The Government nee</w:t>
      </w:r>
      <w:r w:rsidR="00DE124B">
        <w:t xml:space="preserve">d only provide a statement of facts showing that there are reasonable grounds to believe that the tangible things sought are relevant.” (internal </w:t>
      </w:r>
      <w:r w:rsidR="00A35B91">
        <w:t xml:space="preserve">citations and </w:t>
      </w:r>
      <w:r w:rsidR="00DE124B">
        <w:t>quotations omitted).</w:t>
      </w:r>
      <w:r w:rsidR="00DE124B">
        <w:rPr>
          <w:rStyle w:val="FootnoteReference"/>
        </w:rPr>
        <w:footnoteReference w:id="55"/>
      </w:r>
      <w:r w:rsidR="00DE124B">
        <w:t xml:space="preserve"> </w:t>
      </w:r>
      <w:r w:rsidR="00960473">
        <w:t>Observing</w:t>
      </w:r>
      <w:r w:rsidR="0017215C">
        <w:t xml:space="preserve"> that it is difficult to know which information will bear on an investigation or lead to useful counterterrorism information, Pauley </w:t>
      </w:r>
      <w:r w:rsidR="00960473">
        <w:t>notes</w:t>
      </w:r>
      <w:r w:rsidR="0017215C">
        <w:t xml:space="preserve"> that other courts have authorized large scale collection even when much of the information received will not bear on the </w:t>
      </w:r>
      <w:r w:rsidR="000737BE">
        <w:t>investigation.</w:t>
      </w:r>
      <w:r w:rsidR="00960473">
        <w:t xml:space="preserve"> </w:t>
      </w:r>
      <w:r w:rsidR="0044530F">
        <w:t xml:space="preserve">Judge Pauley finds that </w:t>
      </w:r>
      <w:r w:rsidR="00B13954">
        <w:t xml:space="preserve">the </w:t>
      </w:r>
      <w:r w:rsidR="0044530F">
        <w:t xml:space="preserve">scale of metadata collection at present is necessary and appropriate; he states,  </w:t>
      </w:r>
      <w:r w:rsidR="00802935">
        <w:t>“Armed with all the metadata, NSA can draw connections it might ot</w:t>
      </w:r>
      <w:r w:rsidR="0044530F">
        <w:t>herwise never be able to find.”</w:t>
      </w:r>
      <w:r w:rsidR="0044530F">
        <w:rPr>
          <w:rStyle w:val="FootnoteReference"/>
        </w:rPr>
        <w:footnoteReference w:id="56"/>
      </w:r>
    </w:p>
    <w:p w:rsidR="00C362F1" w:rsidRPr="00F6355D" w:rsidRDefault="00C6109B" w:rsidP="00D72BD1">
      <w:pPr>
        <w:pStyle w:val="TOC3"/>
      </w:pPr>
      <w:r w:rsidRPr="00F6355D">
        <w:t xml:space="preserve"> 2. Klayman</w:t>
      </w:r>
      <w:r w:rsidR="00815B5B">
        <w:t xml:space="preserve"> v. Obama</w:t>
      </w:r>
    </w:p>
    <w:p w:rsidR="00360C50" w:rsidRPr="00F6355D" w:rsidRDefault="00912B50" w:rsidP="00C3238D">
      <w:pPr>
        <w:spacing w:line="480" w:lineRule="auto"/>
        <w:jc w:val="both"/>
      </w:pPr>
      <w:r w:rsidRPr="00F6355D">
        <w:tab/>
      </w:r>
      <w:r w:rsidR="00634EC3">
        <w:t>Judge Leon, in his memorandum opinion, does not interpret the plain meaning of Section 215 or FISA as a whole. Rather</w:t>
      </w:r>
      <w:r w:rsidR="005B20C3">
        <w:t>,</w:t>
      </w:r>
      <w:r w:rsidR="00634EC3">
        <w:t xml:space="preserve"> he simply addresses the Plaintiffs’ claims that the 215 Program </w:t>
      </w:r>
      <w:r w:rsidR="00C17E45">
        <w:t>“exceeds the statutory authority granted by FISA’s tangible things provision and thereby violates the Administrative Procedure Act (APA).”</w:t>
      </w:r>
      <w:r w:rsidR="00C17E45">
        <w:rPr>
          <w:rStyle w:val="FootnoteReference"/>
        </w:rPr>
        <w:footnoteReference w:id="57"/>
      </w:r>
      <w:r w:rsidR="00C17E45">
        <w:t xml:space="preserve"> </w:t>
      </w:r>
      <w:r w:rsidR="00074889">
        <w:t xml:space="preserve"> </w:t>
      </w:r>
      <w:r w:rsidR="004B7066">
        <w:t>More particularly</w:t>
      </w:r>
      <w:r w:rsidR="00074889">
        <w:t xml:space="preserve">, the Plaintiffs argue that </w:t>
      </w:r>
      <w:r w:rsidR="005410B2">
        <w:t xml:space="preserve">(i) </w:t>
      </w:r>
      <w:r w:rsidR="00074889">
        <w:t xml:space="preserve">bulk records collected under Section 215 are not relevant to </w:t>
      </w:r>
      <w:r w:rsidR="00CC64C1">
        <w:t xml:space="preserve">an </w:t>
      </w:r>
      <w:r w:rsidR="00074889">
        <w:t xml:space="preserve">authorized national security investigation and </w:t>
      </w:r>
      <w:r w:rsidR="005410B2">
        <w:t xml:space="preserve">(ii) </w:t>
      </w:r>
      <w:r w:rsidR="00074889">
        <w:t>the FISC is not permitted to prospectively order the production of items not yet in existence.</w:t>
      </w:r>
      <w:r w:rsidR="004A5631">
        <w:t xml:space="preserve"> The Government responds that Congress impliedly precluded APA review of such claims and thus Judge Leon does not have subject matter jurisdiction over the statutory claim. </w:t>
      </w:r>
      <w:r w:rsidR="00832EF8">
        <w:t>Judge Leon writes, “</w:t>
      </w:r>
      <w:r w:rsidR="00832EF8" w:rsidRPr="0000476D">
        <w:t xml:space="preserve">The Government insists that two statutes </w:t>
      </w:r>
      <w:r w:rsidR="00832EF8" w:rsidRPr="0000476D">
        <w:softHyphen/>
        <w:t xml:space="preserve">– 50 U.S.C. § 1861, the “tangible things” provision of FISA itself, and 18 U.S.C. § 2712, a provision of the USA PATRIOT Act, codified in the Stored Communication Act (SCA) – </w:t>
      </w:r>
      <w:r w:rsidR="00832EF8" w:rsidRPr="0000476D">
        <w:rPr>
          <w:i/>
        </w:rPr>
        <w:t>impliedly</w:t>
      </w:r>
      <w:r w:rsidR="00832EF8" w:rsidRPr="0000476D">
        <w:t xml:space="preserve"> preclude this Court’s review of Plaintiffs’ statutory APA claim . . . The text of Section 1861, and the structure and purpose of the FISA statutory scheme, as a whole, do indeed reflect Congress’s preclusive intent.”</w:t>
      </w:r>
      <w:r w:rsidR="00832EF8" w:rsidRPr="0000476D">
        <w:rPr>
          <w:rStyle w:val="FootnoteReference"/>
        </w:rPr>
        <w:footnoteReference w:id="58"/>
      </w:r>
      <w:r w:rsidR="00832EF8">
        <w:t xml:space="preserve"> </w:t>
      </w:r>
      <w:r w:rsidR="00832EF8" w:rsidRPr="00F6355D">
        <w:t xml:space="preserve"> </w:t>
      </w:r>
      <w:r w:rsidR="00832EF8">
        <w:t xml:space="preserve">Because Section 215 outlines a detailed scheme where only recipients of production orders may appeal to the FISC, Judge Leon found that Congress intended the system to be closed to third parties and district courts.  </w:t>
      </w:r>
      <w:r w:rsidR="004A5631">
        <w:t>Judge Leon accepted the Government’s argumen</w:t>
      </w:r>
      <w:r w:rsidR="00832EF8">
        <w:t>t in this instance</w:t>
      </w:r>
      <w:r w:rsidR="002D5BFC">
        <w:t xml:space="preserve"> and found his court</w:t>
      </w:r>
      <w:r w:rsidR="004A5631">
        <w:t xml:space="preserve"> precluded from reviewing Plaintiffs’ APA claims.</w:t>
      </w:r>
      <w:r w:rsidR="004A5631">
        <w:rPr>
          <w:rStyle w:val="FootnoteReference"/>
        </w:rPr>
        <w:footnoteReference w:id="59"/>
      </w:r>
      <w:r w:rsidR="00026A82">
        <w:t xml:space="preserve"> </w:t>
      </w:r>
      <w:r w:rsidR="00EC4E24">
        <w:t xml:space="preserve">Rather disappointingly, </w:t>
      </w:r>
      <w:r w:rsidR="00D311DF">
        <w:t xml:space="preserve">Judge Leon issued no opinion </w:t>
      </w:r>
      <w:r w:rsidR="00141BB3">
        <w:t>as to whether or not he finds the 215 Program exceeds</w:t>
      </w:r>
      <w:r w:rsidR="00EC4E24">
        <w:t xml:space="preserve"> the </w:t>
      </w:r>
      <w:r w:rsidR="00141BB3">
        <w:t xml:space="preserve">limitations laid out by the </w:t>
      </w:r>
      <w:r w:rsidR="00EC4E24">
        <w:t>statute; in</w:t>
      </w:r>
      <w:r w:rsidR="00420E4D">
        <w:t>stead he</w:t>
      </w:r>
      <w:r w:rsidR="00141BB3">
        <w:t xml:space="preserve"> simply stated that his court i</w:t>
      </w:r>
      <w:r w:rsidR="00420E4D">
        <w:t xml:space="preserve">s unable to entertain </w:t>
      </w:r>
      <w:r w:rsidR="001710A4">
        <w:t>such</w:t>
      </w:r>
      <w:r w:rsidR="00EC4E24">
        <w:t xml:space="preserve"> claim</w:t>
      </w:r>
      <w:r w:rsidR="00420E4D">
        <w:t>s</w:t>
      </w:r>
      <w:r w:rsidR="001710A4">
        <w:t xml:space="preserve"> brought by Plaintiffs</w:t>
      </w:r>
      <w:r w:rsidR="00EC4E24">
        <w:t xml:space="preserve">. </w:t>
      </w:r>
    </w:p>
    <w:p w:rsidR="00BA3910" w:rsidRPr="00F6355D" w:rsidRDefault="00C07D4F" w:rsidP="00D72BD1">
      <w:pPr>
        <w:pStyle w:val="TOC3"/>
      </w:pPr>
      <w:r w:rsidRPr="00F6355D">
        <w:t>3. FISC Interpretation</w:t>
      </w:r>
    </w:p>
    <w:p w:rsidR="007F1BC7" w:rsidRPr="00F6355D" w:rsidRDefault="00A45443" w:rsidP="00C3238D">
      <w:pPr>
        <w:spacing w:line="480" w:lineRule="auto"/>
        <w:jc w:val="both"/>
      </w:pPr>
      <w:r w:rsidRPr="00F6355D">
        <w:tab/>
        <w:t xml:space="preserve">Judge Eagan begins her </w:t>
      </w:r>
      <w:r w:rsidR="002B41E4" w:rsidRPr="00F6355D">
        <w:t xml:space="preserve">statutory </w:t>
      </w:r>
      <w:r w:rsidRPr="00F6355D">
        <w:t xml:space="preserve">analysis </w:t>
      </w:r>
      <w:r w:rsidR="00703F36" w:rsidRPr="00F6355D">
        <w:t xml:space="preserve">of Section 215 </w:t>
      </w:r>
      <w:r w:rsidR="003A1EA6" w:rsidRPr="00F6355D">
        <w:softHyphen/>
        <w:t>(</w:t>
      </w:r>
      <w:r w:rsidR="00703F36" w:rsidRPr="00F6355D">
        <w:t>after an enumeration of the various requirements and minimization procedures associated with the</w:t>
      </w:r>
      <w:r w:rsidR="003A1EA6" w:rsidRPr="00F6355D">
        <w:t xml:space="preserve"> issuance of a production order)</w:t>
      </w:r>
      <w:r w:rsidR="00703F36" w:rsidRPr="00F6355D">
        <w:t xml:space="preserve"> </w:t>
      </w:r>
      <w:r w:rsidR="003A1EA6" w:rsidRPr="00F6355D">
        <w:t>with a study of</w:t>
      </w:r>
      <w:r w:rsidR="001B3664" w:rsidRPr="00F6355D">
        <w:t xml:space="preserve"> what </w:t>
      </w:r>
      <w:r w:rsidR="008E3D2E" w:rsidRPr="00F6355D">
        <w:t>is</w:t>
      </w:r>
      <w:r w:rsidR="001B3664" w:rsidRPr="00F6355D">
        <w:t xml:space="preserve"> considered </w:t>
      </w:r>
      <w:r w:rsidR="003A1EA6" w:rsidRPr="00F6355D">
        <w:t xml:space="preserve">to be </w:t>
      </w:r>
      <w:r w:rsidR="001B3664" w:rsidRPr="00F6355D">
        <w:t xml:space="preserve">the domestic </w:t>
      </w:r>
      <w:r w:rsidR="003328B3" w:rsidRPr="00F6355D">
        <w:t xml:space="preserve">criminal </w:t>
      </w:r>
      <w:r w:rsidR="001B3664" w:rsidRPr="00F6355D">
        <w:t>equivalent</w:t>
      </w:r>
      <w:r w:rsidR="008E3D2E" w:rsidRPr="00F6355D">
        <w:t xml:space="preserve">, </w:t>
      </w:r>
      <w:r w:rsidR="00DD2D1D" w:rsidRPr="00F6355D">
        <w:t xml:space="preserve">the </w:t>
      </w:r>
      <w:r w:rsidR="001570C7">
        <w:t>Stored Communications Act (</w:t>
      </w:r>
      <w:r w:rsidR="00DD2D1D" w:rsidRPr="00F6355D">
        <w:t>SCA</w:t>
      </w:r>
      <w:r w:rsidR="001570C7">
        <w:t>)</w:t>
      </w:r>
      <w:r w:rsidR="008E3D2E" w:rsidRPr="00F6355D">
        <w:t xml:space="preserve"> 18 U.S.C. § 2703</w:t>
      </w:r>
      <w:r w:rsidR="00DD2D1D" w:rsidRPr="00F6355D">
        <w:t xml:space="preserve">. </w:t>
      </w:r>
      <w:r w:rsidR="00415680" w:rsidRPr="00F6355D">
        <w:t xml:space="preserve">Under this </w:t>
      </w:r>
      <w:r w:rsidR="003A1EA6" w:rsidRPr="00F6355D">
        <w:t xml:space="preserve">section 2703 of the </w:t>
      </w:r>
      <w:r w:rsidR="001570C7">
        <w:t>SCA</w:t>
      </w:r>
      <w:r w:rsidR="000D09F0" w:rsidRPr="00F6355D">
        <w:t xml:space="preserve"> government officials </w:t>
      </w:r>
      <w:r w:rsidR="001375EC" w:rsidRPr="00F6355D">
        <w:t xml:space="preserve">are permitted to </w:t>
      </w:r>
      <w:r w:rsidR="00DE3266" w:rsidRPr="00F6355D">
        <w:t xml:space="preserve">seek a court order to </w:t>
      </w:r>
      <w:r w:rsidR="001375EC" w:rsidRPr="00F6355D">
        <w:t xml:space="preserve">collect, </w:t>
      </w:r>
      <w:r w:rsidR="001375EC" w:rsidRPr="00F6355D">
        <w:rPr>
          <w:i/>
        </w:rPr>
        <w:t>inter alia</w:t>
      </w:r>
      <w:r w:rsidR="001375EC" w:rsidRPr="00F6355D">
        <w:t xml:space="preserve">, telephony metadata </w:t>
      </w:r>
      <w:r w:rsidR="002A2221" w:rsidRPr="00F6355D">
        <w:t>provided that the, “</w:t>
      </w:r>
      <w:r w:rsidR="002A2221" w:rsidRPr="00F6355D">
        <w:rPr>
          <w:rStyle w:val="ptext-"/>
        </w:rPr>
        <w:t>entity offers specific and articulable facts showing that there are reasonable grounds to believe that the contents of . . . the records or other information sought are relevant and material to an ongoing criminal investigation.”</w:t>
      </w:r>
      <w:r w:rsidR="002A2221" w:rsidRPr="00F6355D">
        <w:rPr>
          <w:rStyle w:val="FootnoteReference"/>
        </w:rPr>
        <w:footnoteReference w:id="60"/>
      </w:r>
      <w:r w:rsidR="00415680" w:rsidRPr="00F6355D">
        <w:t xml:space="preserve"> </w:t>
      </w:r>
      <w:r w:rsidR="00683406">
        <w:t>Judge Eagan argues that t</w:t>
      </w:r>
      <w:r w:rsidR="00BF1FA1" w:rsidRPr="00F6355D">
        <w:t xml:space="preserve">his </w:t>
      </w:r>
      <w:r w:rsidR="00683406">
        <w:t xml:space="preserve">distinctly specific </w:t>
      </w:r>
      <w:r w:rsidR="00BF1FA1" w:rsidRPr="00F6355D">
        <w:t>langu</w:t>
      </w:r>
      <w:r w:rsidR="00763781">
        <w:t>age - as compared to Section 215</w:t>
      </w:r>
      <w:r w:rsidR="00683406">
        <w:t>’s rather broad language</w:t>
      </w:r>
      <w:r w:rsidR="00763781">
        <w:t xml:space="preserve"> -</w:t>
      </w:r>
      <w:r w:rsidR="00E7169E" w:rsidRPr="00F6355D">
        <w:t xml:space="preserve"> shows that Congress knew how to include a higher </w:t>
      </w:r>
      <w:r w:rsidR="00BF1FA1" w:rsidRPr="00F6355D">
        <w:t xml:space="preserve">and more rigorous </w:t>
      </w:r>
      <w:r w:rsidR="00E7169E" w:rsidRPr="00F6355D">
        <w:t>standard</w:t>
      </w:r>
      <w:r w:rsidR="00C34700">
        <w:t xml:space="preserve">. </w:t>
      </w:r>
      <w:r w:rsidR="00BF1FA1" w:rsidRPr="00F6355D">
        <w:t xml:space="preserve"> </w:t>
      </w:r>
      <w:r w:rsidR="00C34700">
        <w:t>Congress did n</w:t>
      </w:r>
      <w:r w:rsidR="00812616">
        <w:t>ot apply this same type of specified</w:t>
      </w:r>
      <w:r w:rsidR="00C34700">
        <w:t xml:space="preserve"> language</w:t>
      </w:r>
      <w:r w:rsidR="00BF1FA1" w:rsidRPr="00F6355D">
        <w:t xml:space="preserve"> </w:t>
      </w:r>
      <w:r w:rsidR="00B21A82" w:rsidRPr="00F6355D">
        <w:t>when</w:t>
      </w:r>
      <w:r w:rsidR="00BF1FA1" w:rsidRPr="00F6355D">
        <w:t xml:space="preserve"> </w:t>
      </w:r>
      <w:r w:rsidR="00B21A82" w:rsidRPr="00F6355D">
        <w:t>enacting</w:t>
      </w:r>
      <w:r w:rsidR="00BF1FA1" w:rsidRPr="00F6355D">
        <w:t xml:space="preserve"> the PATRIOT Act</w:t>
      </w:r>
      <w:r w:rsidR="00812616">
        <w:t>, thus Section 215 can be interpreted and applied more broadly</w:t>
      </w:r>
      <w:r w:rsidR="005A1434" w:rsidRPr="00F6355D">
        <w:t xml:space="preserve">. </w:t>
      </w:r>
      <w:r w:rsidR="00FA7DA8" w:rsidRPr="00F6355D">
        <w:t>Further, Congress removed the provision in section 18</w:t>
      </w:r>
      <w:r w:rsidR="002532B7" w:rsidRPr="00F6355D">
        <w:t xml:space="preserve">61 </w:t>
      </w:r>
      <w:r w:rsidR="001C55D8">
        <w:t xml:space="preserve">(commonly known as Section 215) </w:t>
      </w:r>
      <w:r w:rsidR="002532B7" w:rsidRPr="00F6355D">
        <w:t>of FISA that required the FBI</w:t>
      </w:r>
      <w:r w:rsidR="00FA7DA8" w:rsidRPr="00F6355D">
        <w:t xml:space="preserve"> to show “specific and articulable facts giving reason to believe that the person to whom the records pertain is a foreign power or an agent of a foreign power.”</w:t>
      </w:r>
      <w:r w:rsidR="00FA7DA8" w:rsidRPr="00F6355D">
        <w:rPr>
          <w:rStyle w:val="FootnoteReference"/>
        </w:rPr>
        <w:footnoteReference w:id="61"/>
      </w:r>
      <w:r w:rsidR="002532B7" w:rsidRPr="00F6355D">
        <w:t xml:space="preserve"> </w:t>
      </w:r>
      <w:r w:rsidR="007A2E3A" w:rsidRPr="00F6355D">
        <w:t xml:space="preserve">While Section 215 imposes a lower burden on those seeking business records, it </w:t>
      </w:r>
      <w:r w:rsidR="003D25C7" w:rsidRPr="00F6355D">
        <w:t>dictates that the FBI</w:t>
      </w:r>
      <w:r w:rsidR="007A2E3A" w:rsidRPr="00F6355D">
        <w:t xml:space="preserve"> </w:t>
      </w:r>
      <w:r w:rsidR="003D25C7" w:rsidRPr="00F6355D">
        <w:t xml:space="preserve">adhere </w:t>
      </w:r>
      <w:r w:rsidR="00FA0B66" w:rsidRPr="00F6355D">
        <w:t xml:space="preserve">to the </w:t>
      </w:r>
      <w:r w:rsidR="003D25C7" w:rsidRPr="00F6355D">
        <w:t>minimization procedures</w:t>
      </w:r>
      <w:r w:rsidR="00FA0B66" w:rsidRPr="00F6355D">
        <w:t xml:space="preserve"> as</w:t>
      </w:r>
      <w:r w:rsidR="003D25C7" w:rsidRPr="00F6355D">
        <w:t xml:space="preserve"> imposed by the FISC’s Primary Order. </w:t>
      </w:r>
      <w:r w:rsidR="00BD321A" w:rsidRPr="00F6355D">
        <w:t xml:space="preserve"> </w:t>
      </w:r>
      <w:r w:rsidR="00FA0B66" w:rsidRPr="00F6355D">
        <w:t>Section 2703</w:t>
      </w:r>
      <w:r w:rsidR="00C47512">
        <w:t xml:space="preserve"> of the SCA</w:t>
      </w:r>
      <w:r w:rsidR="00FA0B66" w:rsidRPr="00F6355D">
        <w:t xml:space="preserve">, on the other hand, includes no such provision for minimization procedures. </w:t>
      </w:r>
      <w:r w:rsidR="000D2F72">
        <w:t>The minimization procedures employed in connection with Section 215 are consi</w:t>
      </w:r>
      <w:r w:rsidR="00FA71CA">
        <w:t>dered to be backend protections</w:t>
      </w:r>
      <w:r w:rsidR="001A708C">
        <w:t xml:space="preserve"> as they are employed only after items have been collected and retained.</w:t>
      </w:r>
      <w:r w:rsidR="000D2F72">
        <w:t xml:space="preserve"> </w:t>
      </w:r>
      <w:r w:rsidR="001A708C">
        <w:t>S</w:t>
      </w:r>
      <w:r w:rsidR="000D2F72">
        <w:t>ection 2703</w:t>
      </w:r>
      <w:r w:rsidR="001A708C">
        <w:t>, on the other hand,</w:t>
      </w:r>
      <w:r w:rsidR="000D2F72">
        <w:t xml:space="preserve"> </w:t>
      </w:r>
      <w:r w:rsidR="001A708C">
        <w:t>uses</w:t>
      </w:r>
      <w:r w:rsidR="000D2F72">
        <w:t xml:space="preserve"> frontend protections by requiring more rigorous level</w:t>
      </w:r>
      <w:r w:rsidR="00FA71CA">
        <w:t>s</w:t>
      </w:r>
      <w:r w:rsidR="000D2F72">
        <w:t xml:space="preserve"> of scrutiny in o</w:t>
      </w:r>
      <w:r w:rsidR="00FA71CA">
        <w:t xml:space="preserve">rder to obtain information.  </w:t>
      </w:r>
    </w:p>
    <w:p w:rsidR="006824D8" w:rsidRPr="00F6355D" w:rsidRDefault="007F1BC7" w:rsidP="00C3238D">
      <w:pPr>
        <w:spacing w:line="480" w:lineRule="auto"/>
        <w:jc w:val="both"/>
      </w:pPr>
      <w:r w:rsidRPr="00F6355D">
        <w:tab/>
      </w:r>
      <w:r w:rsidR="00623F36" w:rsidRPr="00F6355D">
        <w:t>A</w:t>
      </w:r>
      <w:r w:rsidR="00D536A1" w:rsidRPr="00F6355D">
        <w:t>n additional safeguard</w:t>
      </w:r>
      <w:r w:rsidR="00623F36" w:rsidRPr="00F6355D">
        <w:t xml:space="preserve"> included in </w:t>
      </w:r>
      <w:r w:rsidR="00D536A1" w:rsidRPr="00F6355D">
        <w:t>Section 215</w:t>
      </w:r>
      <w:r w:rsidR="00623F36" w:rsidRPr="00F6355D">
        <w:t xml:space="preserve"> is </w:t>
      </w:r>
      <w:r w:rsidR="00360AE4" w:rsidRPr="00F6355D">
        <w:t>a</w:t>
      </w:r>
      <w:r w:rsidR="00623F36" w:rsidRPr="00F6355D">
        <w:t xml:space="preserve"> “substantial and engaging adversarial process</w:t>
      </w:r>
      <w:r w:rsidR="00FA71CA">
        <w:t>,</w:t>
      </w:r>
      <w:r w:rsidR="00623F36" w:rsidRPr="00F6355D">
        <w:t>”</w:t>
      </w:r>
      <w:r w:rsidR="00623F36" w:rsidRPr="00F6355D">
        <w:rPr>
          <w:rStyle w:val="FootnoteReference"/>
        </w:rPr>
        <w:footnoteReference w:id="62"/>
      </w:r>
      <w:r w:rsidR="00623F36" w:rsidRPr="00F6355D">
        <w:t xml:space="preserve"> which </w:t>
      </w:r>
      <w:r w:rsidR="00D536A1" w:rsidRPr="00F6355D">
        <w:t>provides recipients (i.e. the telecoms companies</w:t>
      </w:r>
      <w:r w:rsidR="00246CBC">
        <w:t xml:space="preserve"> and only those companies</w:t>
      </w:r>
      <w:r w:rsidR="00D536A1" w:rsidRPr="00F6355D">
        <w:t xml:space="preserve">) a means to challenge </w:t>
      </w:r>
      <w:r w:rsidR="00FA71CA">
        <w:t>the legality of</w:t>
      </w:r>
      <w:r w:rsidR="00D536A1" w:rsidRPr="00F6355D">
        <w:t xml:space="preserve"> production order</w:t>
      </w:r>
      <w:r w:rsidR="00FA71CA">
        <w:t>s</w:t>
      </w:r>
      <w:r w:rsidR="00D536A1" w:rsidRPr="00F6355D">
        <w:t xml:space="preserve"> with</w:t>
      </w:r>
      <w:r w:rsidR="004D7322" w:rsidRPr="00F6355D">
        <w:t>in</w:t>
      </w:r>
      <w:r w:rsidR="00D536A1" w:rsidRPr="00F6355D">
        <w:t xml:space="preserve"> a pool of FISC judges. </w:t>
      </w:r>
      <w:r w:rsidR="003C5414" w:rsidRPr="00F6355D">
        <w:t>Despite this provision</w:t>
      </w:r>
      <w:r w:rsidR="00B162AE" w:rsidRPr="00F6355D">
        <w:t xml:space="preserve">, </w:t>
      </w:r>
      <w:r w:rsidR="004D7322" w:rsidRPr="00F6355D">
        <w:t xml:space="preserve">Judge Eagan writes in </w:t>
      </w:r>
      <w:r w:rsidR="00B007A9" w:rsidRPr="00F6355D">
        <w:t>her</w:t>
      </w:r>
      <w:r w:rsidR="004D7322" w:rsidRPr="00F6355D">
        <w:t xml:space="preserve"> August 29, 2013 Opinion, </w:t>
      </w:r>
      <w:r w:rsidR="00D0681D" w:rsidRPr="00F6355D">
        <w:t>no production order recipient</w:t>
      </w:r>
      <w:r w:rsidR="00361EF4" w:rsidRPr="00F6355D">
        <w:t xml:space="preserve"> had</w:t>
      </w:r>
      <w:r w:rsidR="003C5414" w:rsidRPr="00F6355D">
        <w:t xml:space="preserve"> </w:t>
      </w:r>
      <w:r w:rsidR="0031436B" w:rsidRPr="00F6355D">
        <w:t xml:space="preserve">yet </w:t>
      </w:r>
      <w:r w:rsidR="003C5414" w:rsidRPr="00F6355D">
        <w:t>challenged such an order to produce telephony metadata</w:t>
      </w:r>
      <w:r w:rsidR="00D0681D" w:rsidRPr="00F6355D">
        <w:t>.</w:t>
      </w:r>
      <w:r w:rsidR="004D7322" w:rsidRPr="00F6355D">
        <w:t xml:space="preserve"> </w:t>
      </w:r>
      <w:r w:rsidR="00360AE4" w:rsidRPr="00F6355D">
        <w:t xml:space="preserve">This piece </w:t>
      </w:r>
      <w:r w:rsidR="00115EBB" w:rsidRPr="00F6355D">
        <w:t xml:space="preserve">of information is an interesting inclusion in the </w:t>
      </w:r>
      <w:r w:rsidR="006824D8" w:rsidRPr="00F6355D">
        <w:t>Opinion. It can be assumed that</w:t>
      </w:r>
      <w:r w:rsidR="00B007A9" w:rsidRPr="00F6355D">
        <w:t xml:space="preserve"> Eagan wrote this as a </w:t>
      </w:r>
      <w:r w:rsidR="00711D3E">
        <w:t>means</w:t>
      </w:r>
      <w:r w:rsidR="006F6C0A">
        <w:t xml:space="preserve"> for quieting worried minds by </w:t>
      </w:r>
      <w:r w:rsidR="00FA71CA">
        <w:t xml:space="preserve">implying that the production orders </w:t>
      </w:r>
      <w:r w:rsidR="006F6C0A">
        <w:t>received to date were well within the confines of the statute and therefore challenging such orders was unnecessary. B</w:t>
      </w:r>
      <w:r w:rsidR="00B007A9" w:rsidRPr="00F6355D">
        <w:t xml:space="preserve">ut instead it </w:t>
      </w:r>
      <w:r w:rsidR="00EA4EB7" w:rsidRPr="00F6355D">
        <w:t>highlights the problems inherent in a system that allow</w:t>
      </w:r>
      <w:r w:rsidR="006824D8" w:rsidRPr="00F6355D">
        <w:t>s</w:t>
      </w:r>
      <w:r w:rsidR="00EA4EB7" w:rsidRPr="00F6355D">
        <w:t xml:space="preserve"> </w:t>
      </w:r>
      <w:r w:rsidR="006F6C0A" w:rsidRPr="00F6355D">
        <w:t xml:space="preserve">only </w:t>
      </w:r>
      <w:r w:rsidR="00EA4EB7" w:rsidRPr="00F6355D">
        <w:t>tho</w:t>
      </w:r>
      <w:r w:rsidR="006824D8" w:rsidRPr="00F6355D">
        <w:t>se who have no real interest at steak</w:t>
      </w:r>
      <w:r w:rsidR="009B4901" w:rsidRPr="00F6355D">
        <w:t xml:space="preserve"> to </w:t>
      </w:r>
      <w:r w:rsidR="006F6C0A">
        <w:t xml:space="preserve">bring a </w:t>
      </w:r>
      <w:r w:rsidR="009B4901" w:rsidRPr="00F6355D">
        <w:t xml:space="preserve">challenge </w:t>
      </w:r>
      <w:r w:rsidR="006F6C0A">
        <w:t xml:space="preserve">against </w:t>
      </w:r>
      <w:r w:rsidR="009B4901" w:rsidRPr="00F6355D">
        <w:t xml:space="preserve">government </w:t>
      </w:r>
      <w:r w:rsidR="00614E6C" w:rsidRPr="00F6355D">
        <w:t>orders</w:t>
      </w:r>
      <w:r w:rsidR="009B4901" w:rsidRPr="00F6355D">
        <w:t xml:space="preserve">. </w:t>
      </w:r>
    </w:p>
    <w:p w:rsidR="00D4235F" w:rsidRPr="00F6355D" w:rsidRDefault="00A960CF" w:rsidP="00C3238D">
      <w:pPr>
        <w:spacing w:line="480" w:lineRule="auto"/>
        <w:jc w:val="both"/>
      </w:pPr>
      <w:r w:rsidRPr="00F6355D">
        <w:tab/>
      </w:r>
      <w:r w:rsidR="00614E6C" w:rsidRPr="00F6355D">
        <w:t xml:space="preserve">Judge Eagan </w:t>
      </w:r>
      <w:r w:rsidR="002C18C1" w:rsidRPr="00F6355D">
        <w:t>concludes</w:t>
      </w:r>
      <w:r w:rsidR="000B1840">
        <w:t xml:space="preserve"> </w:t>
      </w:r>
      <w:r w:rsidR="002C18C1" w:rsidRPr="00F6355D">
        <w:t>that the two statutes should work in a “co</w:t>
      </w:r>
      <w:r w:rsidR="00D4235F" w:rsidRPr="00F6355D">
        <w:t>mplementary manner.” She writes:</w:t>
      </w:r>
      <w:r w:rsidR="002C18C1" w:rsidRPr="00F6355D">
        <w:t xml:space="preserve"> </w:t>
      </w:r>
    </w:p>
    <w:p w:rsidR="00312669" w:rsidRDefault="002C18C1" w:rsidP="00312669">
      <w:pPr>
        <w:ind w:left="720" w:right="720"/>
        <w:jc w:val="both"/>
      </w:pPr>
      <w:r w:rsidRPr="00F6355D">
        <w:t>In the criminal investigation context, Section 2703(d) includes front-end protections by imposing a higher burden on the government to obtain the information in the first instance. On the other hand, when the government seeks to obtain the same type of information, but for a foreign intelligence purpose, Congress provided the government with more latitude at the production stage under Section 215</w:t>
      </w:r>
      <w:r w:rsidR="00761FA6" w:rsidRPr="00F6355D">
        <w:t xml:space="preserve"> by no</w:t>
      </w:r>
      <w:r w:rsidR="00312669">
        <w:t>t</w:t>
      </w:r>
      <w:r w:rsidR="00761FA6" w:rsidRPr="00F6355D">
        <w:t xml:space="preserve"> requiring specific and articulable facts or meeting a materiality standard. Instead, it imposed post-production checks in the form of mandated minimization procedures and structured adversarial process. This is a logical framework and it comports well with the Fourth Amendment concept that the required actual predicate for obtaining information in a case of special needs, such as national security, can be lower than for use of the same investigative measures for an ordinary criminal investigation.</w:t>
      </w:r>
      <w:r w:rsidRPr="00F6355D">
        <w:rPr>
          <w:rStyle w:val="FootnoteReference"/>
        </w:rPr>
        <w:footnoteReference w:id="63"/>
      </w:r>
    </w:p>
    <w:p w:rsidR="007C73C1" w:rsidRPr="00F6355D" w:rsidRDefault="007C73C1" w:rsidP="00312669">
      <w:pPr>
        <w:ind w:left="720" w:right="720"/>
        <w:jc w:val="both"/>
      </w:pPr>
    </w:p>
    <w:p w:rsidR="00A21AC9" w:rsidRPr="00F6355D" w:rsidRDefault="00C57D2E" w:rsidP="00C3238D">
      <w:pPr>
        <w:spacing w:line="480" w:lineRule="auto"/>
        <w:jc w:val="both"/>
      </w:pPr>
      <w:r w:rsidRPr="00F6355D">
        <w:tab/>
        <w:t xml:space="preserve">Moving to the issue of relevancy, Judge Eagan writes that because terrorists use telephones to communicate and </w:t>
      </w:r>
      <w:r w:rsidR="00896F32" w:rsidRPr="00F6355D">
        <w:t>because</w:t>
      </w:r>
      <w:r w:rsidRPr="00F6355D">
        <w:t xml:space="preserve"> </w:t>
      </w:r>
      <w:r w:rsidR="00B55A23" w:rsidRPr="00F6355D">
        <w:t xml:space="preserve">bulk collection is necessary </w:t>
      </w:r>
      <w:r w:rsidR="00EF34F5" w:rsidRPr="00F6355D">
        <w:t xml:space="preserve">to employ the NSA’s analytic tools </w:t>
      </w:r>
      <w:r w:rsidR="00B55A23" w:rsidRPr="00F6355D">
        <w:t xml:space="preserve">to uncover connections between those terrorists, the 215 Program meets the relevancy standard of the statute.  </w:t>
      </w:r>
      <w:r w:rsidR="00175548">
        <w:t>In citing a</w:t>
      </w:r>
      <w:r w:rsidR="00550321" w:rsidRPr="00F6355D">
        <w:t xml:space="preserve"> previous FISC opinion</w:t>
      </w:r>
      <w:r w:rsidR="00175548">
        <w:t>, Judge Eagan</w:t>
      </w:r>
      <w:r w:rsidR="00550321" w:rsidRPr="00F6355D">
        <w:t xml:space="preserve"> found that this “showing of necessity led the Court to find that ‘the entire mass of collected metadata is relevant to investigating [</w:t>
      </w:r>
      <w:r w:rsidR="00925E27" w:rsidRPr="00F6355D">
        <w:t>international</w:t>
      </w:r>
      <w:r w:rsidR="00550321" w:rsidRPr="00F6355D">
        <w:t xml:space="preserve"> terrorist groups] and affiliated persons</w:t>
      </w:r>
      <w:r w:rsidR="001A3085" w:rsidRPr="00F6355D">
        <w:t>.’</w:t>
      </w:r>
      <w:r w:rsidR="004A3D4A" w:rsidRPr="00F6355D">
        <w:t xml:space="preserve"> </w:t>
      </w:r>
      <w:r w:rsidR="001A3085" w:rsidRPr="00F6355D">
        <w:t xml:space="preserve">. </w:t>
      </w:r>
      <w:r w:rsidR="004A3D4A" w:rsidRPr="00F6355D">
        <w:t>. . The analysis of</w:t>
      </w:r>
      <w:r w:rsidR="001A3085" w:rsidRPr="00F6355D">
        <w:t xml:space="preserve"> past connection </w:t>
      </w:r>
      <w:r w:rsidR="004A3D4A" w:rsidRPr="00F6355D">
        <w:t>is only possible ‘if the Government has collected and archived a broad set of metadata that contains within i</w:t>
      </w:r>
      <w:r w:rsidR="001A3085" w:rsidRPr="00F6355D">
        <w:t>t the subset of communications that can later be identified as terrorist-related’.</w:t>
      </w:r>
      <w:r w:rsidR="00925E27" w:rsidRPr="00F6355D">
        <w:t>”</w:t>
      </w:r>
      <w:r w:rsidR="00925E27" w:rsidRPr="00F6355D">
        <w:rPr>
          <w:rStyle w:val="FootnoteReference"/>
        </w:rPr>
        <w:footnoteReference w:id="64"/>
      </w:r>
      <w:r w:rsidR="00550321" w:rsidRPr="00F6355D">
        <w:t xml:space="preserve"> </w:t>
      </w:r>
      <w:r w:rsidR="008462D2" w:rsidRPr="00F6355D">
        <w:t>Therefore, it is the NSA’s analytic tools and capabilities that dictate the standard of relevan</w:t>
      </w:r>
      <w:r w:rsidR="0005705C" w:rsidRPr="00F6355D">
        <w:t xml:space="preserve">cy, not the </w:t>
      </w:r>
      <w:r w:rsidR="00DE2AC6" w:rsidRPr="00F6355D">
        <w:t xml:space="preserve">value of the </w:t>
      </w:r>
      <w:r w:rsidR="0005705C" w:rsidRPr="00F6355D">
        <w:t>intelligence sought</w:t>
      </w:r>
      <w:r w:rsidR="008462D2" w:rsidRPr="00F6355D">
        <w:t xml:space="preserve">. </w:t>
      </w:r>
      <w:r w:rsidR="00011FE5" w:rsidRPr="00F6355D">
        <w:t>Furthermore</w:t>
      </w:r>
      <w:r w:rsidR="00966B3E">
        <w:t>, Judge Eagan finds</w:t>
      </w:r>
      <w:r w:rsidR="00011FE5" w:rsidRPr="00F6355D">
        <w:t>,</w:t>
      </w:r>
      <w:r w:rsidR="00EF34F5" w:rsidRPr="00F6355D">
        <w:t xml:space="preserve"> Congress left the term “relevant” undefined in</w:t>
      </w:r>
      <w:r w:rsidR="00011FE5" w:rsidRPr="00F6355D">
        <w:t xml:space="preserve"> the statute; thus, Judge Eagan affirms that we are to apply the word’s ordinary meaning</w:t>
      </w:r>
      <w:r w:rsidR="00175548">
        <w:t>,</w:t>
      </w:r>
      <w:r w:rsidR="00D84DAA" w:rsidRPr="00F6355D">
        <w:rPr>
          <w:rStyle w:val="FootnoteReference"/>
        </w:rPr>
        <w:footnoteReference w:id="65"/>
      </w:r>
      <w:r w:rsidR="00011FE5" w:rsidRPr="00F6355D">
        <w:t xml:space="preserve"> which</w:t>
      </w:r>
      <w:r w:rsidR="00172263" w:rsidRPr="00F6355D">
        <w:t>,</w:t>
      </w:r>
      <w:r w:rsidR="00011FE5" w:rsidRPr="00F6355D">
        <w:t xml:space="preserve"> </w:t>
      </w:r>
      <w:r w:rsidR="00D84DAA" w:rsidRPr="00F6355D">
        <w:t xml:space="preserve">as the Government </w:t>
      </w:r>
      <w:r w:rsidR="001F0532" w:rsidRPr="00F6355D">
        <w:t>believes</w:t>
      </w:r>
      <w:r w:rsidR="00172263" w:rsidRPr="00F6355D">
        <w:t>,</w:t>
      </w:r>
      <w:r w:rsidR="00D84DAA" w:rsidRPr="00F6355D">
        <w:t xml:space="preserve"> is</w:t>
      </w:r>
      <w:r w:rsidR="00011FE5" w:rsidRPr="00F6355D">
        <w:t xml:space="preserve"> very broad.</w:t>
      </w:r>
      <w:r w:rsidR="000A3A29" w:rsidRPr="00F6355D">
        <w:t xml:space="preserve"> </w:t>
      </w:r>
      <w:r w:rsidR="00234F9F" w:rsidRPr="00F6355D">
        <w:t xml:space="preserve">Judge Eagan </w:t>
      </w:r>
      <w:r w:rsidR="001F0532" w:rsidRPr="00F6355D">
        <w:t>holds</w:t>
      </w:r>
      <w:r w:rsidR="00234F9F" w:rsidRPr="00F6355D">
        <w:t xml:space="preserve"> the Government to the low standard </w:t>
      </w:r>
      <w:r w:rsidR="001F0532" w:rsidRPr="00F6355D">
        <w:t xml:space="preserve">of relevancy </w:t>
      </w:r>
      <w:r w:rsidR="00380F1E">
        <w:t xml:space="preserve">and writes that </w:t>
      </w:r>
      <w:r w:rsidR="00234F9F" w:rsidRPr="00F6355D">
        <w:t xml:space="preserve">“if it can demonstrate </w:t>
      </w:r>
      <w:r w:rsidR="00234F9F" w:rsidRPr="00F6355D">
        <w:rPr>
          <w:i/>
        </w:rPr>
        <w:t>reasonable grounds to believe</w:t>
      </w:r>
      <w:r w:rsidR="00234F9F" w:rsidRPr="00F6355D">
        <w:t xml:space="preserve"> that the information sought to be produced has </w:t>
      </w:r>
      <w:r w:rsidR="00234F9F" w:rsidRPr="00F6355D">
        <w:rPr>
          <w:i/>
        </w:rPr>
        <w:t>some bearing</w:t>
      </w:r>
      <w:r w:rsidR="00234F9F" w:rsidRPr="00F6355D">
        <w:t xml:space="preserve"> on its investigations</w:t>
      </w:r>
      <w:r w:rsidR="001F0532" w:rsidRPr="00F6355D">
        <w:t xml:space="preserve"> of the identified international terrorist organizations.”</w:t>
      </w:r>
      <w:r w:rsidR="001F0532" w:rsidRPr="00F6355D">
        <w:rPr>
          <w:rStyle w:val="FootnoteReference"/>
        </w:rPr>
        <w:footnoteReference w:id="66"/>
      </w:r>
      <w:r w:rsidR="001F0532" w:rsidRPr="00F6355D">
        <w:t xml:space="preserve"> (emphasis added). </w:t>
      </w:r>
      <w:r w:rsidR="00380F1E">
        <w:t>“Reasonable grounds to believe” is broad and “some bearing” is broader</w:t>
      </w:r>
      <w:r w:rsidR="00C03434">
        <w:t xml:space="preserve"> still; Judge Eagan affords</w:t>
      </w:r>
      <w:r w:rsidR="00380F1E">
        <w:t xml:space="preserve"> the government greater </w:t>
      </w:r>
      <w:r w:rsidR="00C03434">
        <w:t>flexibility</w:t>
      </w:r>
      <w:r w:rsidR="00380F1E">
        <w:t xml:space="preserve"> than the statute allows. </w:t>
      </w:r>
      <w:r w:rsidR="00C03434">
        <w:t xml:space="preserve">The judge balances three factors </w:t>
      </w:r>
      <w:r w:rsidR="004621F1" w:rsidRPr="00F6355D">
        <w:t>on the matter</w:t>
      </w:r>
      <w:r w:rsidR="00A21AC9" w:rsidRPr="00F6355D">
        <w:t xml:space="preserve"> of relevancy</w:t>
      </w:r>
      <w:r w:rsidR="004621F1" w:rsidRPr="00F6355D">
        <w:t xml:space="preserve">; </w:t>
      </w:r>
      <w:r w:rsidR="00696666">
        <w:t xml:space="preserve">(i) </w:t>
      </w:r>
      <w:r w:rsidR="00A21AC9" w:rsidRPr="00F6355D">
        <w:t>“relevant”</w:t>
      </w:r>
      <w:r w:rsidR="004621F1" w:rsidRPr="00F6355D">
        <w:t xml:space="preserve"> is in itself a broad term </w:t>
      </w:r>
      <w:r w:rsidR="001A0445">
        <w:t>(ii) but this broad interpretation of a broad term</w:t>
      </w:r>
      <w:r w:rsidR="00696666">
        <w:t xml:space="preserve"> </w:t>
      </w:r>
      <w:r w:rsidR="004621F1" w:rsidRPr="00F6355D">
        <w:t>is</w:t>
      </w:r>
      <w:r w:rsidR="00696666">
        <w:t>, however,</w:t>
      </w:r>
      <w:r w:rsidR="004621F1" w:rsidRPr="00F6355D">
        <w:t xml:space="preserve"> </w:t>
      </w:r>
      <w:r w:rsidR="00C03434">
        <w:t>off-set</w:t>
      </w:r>
      <w:r w:rsidR="004621F1" w:rsidRPr="00F6355D">
        <w:t xml:space="preserve"> by the comprehensive minimization procedures dicta</w:t>
      </w:r>
      <w:r w:rsidR="00696666">
        <w:t>ted by the FISC’s Primary Order,</w:t>
      </w:r>
      <w:r w:rsidR="004621F1" w:rsidRPr="00F6355D">
        <w:t xml:space="preserve"> and </w:t>
      </w:r>
      <w:r w:rsidR="00696666">
        <w:t xml:space="preserve">(iii) </w:t>
      </w:r>
      <w:r w:rsidR="004621F1" w:rsidRPr="00F6355D">
        <w:t xml:space="preserve">the NSA’s analytic tools require a massive scale of </w:t>
      </w:r>
      <w:r w:rsidR="00A21AC9" w:rsidRPr="00F6355D">
        <w:t>collection</w:t>
      </w:r>
      <w:r w:rsidR="0056297D">
        <w:t xml:space="preserve"> in order to make the information obtained </w:t>
      </w:r>
      <w:r w:rsidR="0056297D">
        <w:rPr>
          <w:i/>
        </w:rPr>
        <w:t>relevant</w:t>
      </w:r>
      <w:r w:rsidR="00A21AC9" w:rsidRPr="00F6355D">
        <w:t>.</w:t>
      </w:r>
      <w:r w:rsidR="0056297D">
        <w:t xml:space="preserve"> </w:t>
      </w:r>
    </w:p>
    <w:p w:rsidR="00CD544E" w:rsidRPr="00F6355D" w:rsidRDefault="00A21AC9" w:rsidP="00C3238D">
      <w:pPr>
        <w:spacing w:line="480" w:lineRule="auto"/>
        <w:jc w:val="both"/>
      </w:pPr>
      <w:r w:rsidRPr="00F6355D">
        <w:tab/>
        <w:t xml:space="preserve">Judge Eagan deploys the </w:t>
      </w:r>
      <w:r w:rsidR="00826556" w:rsidRPr="00F6355D">
        <w:t xml:space="preserve">“re-enactment doctrine” </w:t>
      </w:r>
      <w:r w:rsidRPr="00F6355D">
        <w:t xml:space="preserve">in her final defense of the FISC’s interpretation of Section 215. </w:t>
      </w:r>
      <w:r w:rsidR="00957EE5" w:rsidRPr="00F6355D">
        <w:t>She reasons</w:t>
      </w:r>
      <w:r w:rsidR="00DF630B" w:rsidRPr="00F6355D">
        <w:t xml:space="preserve"> that Congress </w:t>
      </w:r>
      <w:r w:rsidR="00957EE5" w:rsidRPr="00F6355D">
        <w:t xml:space="preserve">was </w:t>
      </w:r>
      <w:r w:rsidR="005321D1" w:rsidRPr="00F6355D">
        <w:t xml:space="preserve">made </w:t>
      </w:r>
      <w:r w:rsidR="00957EE5" w:rsidRPr="00F6355D">
        <w:t>aware of the FISC’</w:t>
      </w:r>
      <w:r w:rsidR="00BA2033" w:rsidRPr="00F6355D">
        <w:t xml:space="preserve">s </w:t>
      </w:r>
      <w:r w:rsidR="001D6FCF">
        <w:t xml:space="preserve">statutory </w:t>
      </w:r>
      <w:r w:rsidR="00BA2033" w:rsidRPr="00F6355D">
        <w:t xml:space="preserve">interpretation </w:t>
      </w:r>
      <w:r w:rsidR="0071012B" w:rsidRPr="00F6355D">
        <w:t>of</w:t>
      </w:r>
      <w:r w:rsidR="004C15BF" w:rsidRPr="00F6355D">
        <w:t xml:space="preserve"> </w:t>
      </w:r>
      <w:r w:rsidR="009D49B5" w:rsidRPr="00F6355D">
        <w:t xml:space="preserve">Section 215 </w:t>
      </w:r>
      <w:r w:rsidR="001D6FCF">
        <w:t xml:space="preserve">at the time of </w:t>
      </w:r>
      <w:r w:rsidR="0071012B" w:rsidRPr="00F6355D">
        <w:t xml:space="preserve">re-authorization </w:t>
      </w:r>
      <w:r w:rsidR="001D6FCF">
        <w:t>but</w:t>
      </w:r>
      <w:r w:rsidR="00BA68F3" w:rsidRPr="00F6355D">
        <w:t xml:space="preserve"> extended the sunset date all the same (current sunset d</w:t>
      </w:r>
      <w:r w:rsidR="00CD544E" w:rsidRPr="00F6355D">
        <w:t xml:space="preserve">ate is set to expire June 1, </w:t>
      </w:r>
      <w:r w:rsidR="00BA68F3" w:rsidRPr="00F6355D">
        <w:t>2015).</w:t>
      </w:r>
      <w:r w:rsidR="00DF630B" w:rsidRPr="00F6355D">
        <w:t xml:space="preserve"> </w:t>
      </w:r>
      <w:r w:rsidR="004B4792" w:rsidRPr="00F6355D">
        <w:t>Eagan writes, “When Congress subsequently re-authorized Section 215 without change, except as to the expiration date, the re-authorization carried with it this Court’s interpretation of the statute, which permits the bulk collection of telephony metadata under the restr</w:t>
      </w:r>
      <w:r w:rsidR="00972C4C" w:rsidRPr="00F6355D">
        <w:t>ictions that are in place. Therefore, the passage of the PATRIOT Sunsets Extensions Act provides a persuasive reason for this Court to adhere to its prior interpretations of Section 215.”</w:t>
      </w:r>
      <w:r w:rsidR="00972C4C" w:rsidRPr="00F6355D">
        <w:rPr>
          <w:rStyle w:val="FootnoteReference"/>
        </w:rPr>
        <w:footnoteReference w:id="67"/>
      </w:r>
      <w:r w:rsidR="00F42887" w:rsidRPr="00F6355D">
        <w:t xml:space="preserve"> </w:t>
      </w:r>
    </w:p>
    <w:p w:rsidR="00C07D4F" w:rsidRPr="00F6355D" w:rsidRDefault="00CD544E" w:rsidP="00C3238D">
      <w:pPr>
        <w:spacing w:line="480" w:lineRule="auto"/>
        <w:jc w:val="both"/>
      </w:pPr>
      <w:r w:rsidRPr="00F6355D">
        <w:tab/>
        <w:t>To this</w:t>
      </w:r>
      <w:r w:rsidR="005230A1" w:rsidRPr="00F6355D">
        <w:t>,</w:t>
      </w:r>
      <w:r w:rsidRPr="00F6355D">
        <w:t xml:space="preserve"> the PCLOB</w:t>
      </w:r>
      <w:r w:rsidR="00375D0A" w:rsidRPr="00F6355D">
        <w:t xml:space="preserve"> (whose </w:t>
      </w:r>
      <w:r w:rsidR="002A2270">
        <w:t xml:space="preserve">extensive </w:t>
      </w:r>
      <w:r w:rsidR="00375D0A" w:rsidRPr="00F6355D">
        <w:t>statutory interpretation of Section 215 is detailed below)</w:t>
      </w:r>
      <w:r w:rsidRPr="00F6355D">
        <w:t xml:space="preserve"> responds </w:t>
      </w:r>
      <w:r w:rsidR="0077131C" w:rsidRPr="00F6355D">
        <w:t xml:space="preserve">with a few points. First, </w:t>
      </w:r>
      <w:r w:rsidR="001D6FCF">
        <w:t>when Section 215 reached its initial sunset dates</w:t>
      </w:r>
      <w:r w:rsidR="0077131C" w:rsidRPr="00F6355D">
        <w:t xml:space="preserve"> (in 2010 and again in 2011) </w:t>
      </w:r>
      <w:r w:rsidR="009D39BF">
        <w:t xml:space="preserve">the </w:t>
      </w:r>
      <w:r w:rsidR="002A2270">
        <w:t xml:space="preserve">FISC had not yet written a </w:t>
      </w:r>
      <w:r w:rsidR="002A2270" w:rsidRPr="00F6355D">
        <w:t xml:space="preserve">legal </w:t>
      </w:r>
      <w:r w:rsidR="00043AAD" w:rsidRPr="00F6355D">
        <w:t xml:space="preserve">opinion </w:t>
      </w:r>
      <w:r w:rsidR="002A2270">
        <w:t>expounding its</w:t>
      </w:r>
      <w:r w:rsidR="00043AAD" w:rsidRPr="00F6355D">
        <w:t xml:space="preserve"> interpretation of Section </w:t>
      </w:r>
      <w:r w:rsidR="00B60930" w:rsidRPr="00F6355D">
        <w:t>215;</w:t>
      </w:r>
      <w:r w:rsidR="009D39BF" w:rsidRPr="00F6355D">
        <w:rPr>
          <w:rStyle w:val="FootnoteReference"/>
        </w:rPr>
        <w:footnoteReference w:id="68"/>
      </w:r>
      <w:r w:rsidR="00043AAD" w:rsidRPr="00F6355D">
        <w:t xml:space="preserve"> </w:t>
      </w:r>
      <w:r w:rsidR="00AC3528" w:rsidRPr="00F6355D">
        <w:t xml:space="preserve">the Court </w:t>
      </w:r>
      <w:r w:rsidR="002932C8" w:rsidRPr="00F6355D">
        <w:t>had simply been signing orders.</w:t>
      </w:r>
      <w:r w:rsidR="00C4702F" w:rsidRPr="00F6355D">
        <w:t xml:space="preserve"> </w:t>
      </w:r>
      <w:r w:rsidR="00CC15AA" w:rsidRPr="00F6355D">
        <w:t xml:space="preserve">Second, even if FBI applications and </w:t>
      </w:r>
      <w:r w:rsidR="00A40AF1" w:rsidRPr="00F6355D">
        <w:t xml:space="preserve">FISC </w:t>
      </w:r>
      <w:r w:rsidR="00CC15AA" w:rsidRPr="00F6355D">
        <w:t xml:space="preserve">production orders </w:t>
      </w:r>
      <w:r w:rsidR="00895A28">
        <w:t>may be taken in conjunction and considered as an</w:t>
      </w:r>
      <w:r w:rsidR="00CC15AA" w:rsidRPr="00F6355D">
        <w:t xml:space="preserve"> interpretation of </w:t>
      </w:r>
      <w:r w:rsidR="00895A28">
        <w:t>215</w:t>
      </w:r>
      <w:r w:rsidR="00CC15AA" w:rsidRPr="00F6355D">
        <w:t xml:space="preserve">, </w:t>
      </w:r>
      <w:r w:rsidR="00895A28">
        <w:t xml:space="preserve">the majority of Congress was barred from reviewing </w:t>
      </w:r>
      <w:r w:rsidR="003C3F32" w:rsidRPr="00F6355D">
        <w:t>such applications or orders</w:t>
      </w:r>
      <w:r w:rsidR="003C3F32">
        <w:t xml:space="preserve">. Only </w:t>
      </w:r>
      <w:r w:rsidR="00985ABD" w:rsidRPr="00F6355D">
        <w:t>members on</w:t>
      </w:r>
      <w:r w:rsidR="00CC15AA" w:rsidRPr="00F6355D">
        <w:t xml:space="preserve"> </w:t>
      </w:r>
      <w:r w:rsidR="00985ABD" w:rsidRPr="00F6355D">
        <w:t>the Intellige</w:t>
      </w:r>
      <w:r w:rsidR="003C3F32">
        <w:t>nce Committees were given</w:t>
      </w:r>
      <w:r w:rsidR="00D11630">
        <w:t xml:space="preserve"> access to the orders; the remaining congressmen and women </w:t>
      </w:r>
      <w:r w:rsidR="003C3F32">
        <w:t xml:space="preserve">had to </w:t>
      </w:r>
      <w:r w:rsidR="00D11630">
        <w:t>seek information from</w:t>
      </w:r>
      <w:r w:rsidR="003C3F32">
        <w:t xml:space="preserve"> those privileged members in order to learn of the workings of the 215 Program.</w:t>
      </w:r>
      <w:r w:rsidR="00985ABD" w:rsidRPr="00F6355D">
        <w:t xml:space="preserve"> </w:t>
      </w:r>
      <w:r w:rsidR="00A40AF1" w:rsidRPr="00F6355D">
        <w:t xml:space="preserve">Third, it is </w:t>
      </w:r>
      <w:r w:rsidR="00653749" w:rsidRPr="00F6355D">
        <w:t>improper</w:t>
      </w:r>
      <w:r w:rsidR="00A40AF1" w:rsidRPr="00F6355D">
        <w:t xml:space="preserve"> to apply the re-enactment doctrine </w:t>
      </w:r>
      <w:r w:rsidR="00585522" w:rsidRPr="00F6355D">
        <w:t xml:space="preserve">in an analysis of Congressional intent </w:t>
      </w:r>
      <w:r w:rsidR="00A40AF1" w:rsidRPr="00F6355D">
        <w:t>when members of Congress may not con</w:t>
      </w:r>
      <w:r w:rsidR="00653749" w:rsidRPr="00F6355D">
        <w:t xml:space="preserve">sult with aids, outside counsel, and advocates in order </w:t>
      </w:r>
      <w:r w:rsidR="00343910">
        <w:t>to formulate a</w:t>
      </w:r>
      <w:r w:rsidR="00653749" w:rsidRPr="00F6355D">
        <w:t xml:space="preserve"> decision. Fourth, the statute was not “re-enacted” in 2010 and 2011, rather the expiration date was delayed by one </w:t>
      </w:r>
      <w:r w:rsidR="00343910">
        <w:t xml:space="preserve">year </w:t>
      </w:r>
      <w:r w:rsidR="00653749" w:rsidRPr="00F6355D">
        <w:t xml:space="preserve">and four years respectively. </w:t>
      </w:r>
      <w:r w:rsidR="005D4F01" w:rsidRPr="00F6355D">
        <w:t>Furthermore, even if each member of Congress was aware of the interpretation and we were able to call on the re-enactment doctrine in good faith, that still leaves the American public unaware</w:t>
      </w:r>
      <w:r w:rsidR="00B72371" w:rsidRPr="00F6355D">
        <w:t xml:space="preserve"> of the Government’s interp</w:t>
      </w:r>
      <w:r w:rsidR="00C767CA">
        <w:t>retation and use of Section 215.</w:t>
      </w:r>
      <w:r w:rsidR="00B72371" w:rsidRPr="00F6355D">
        <w:t xml:space="preserve"> </w:t>
      </w:r>
      <w:r w:rsidR="00C767CA">
        <w:t>The voting public is</w:t>
      </w:r>
      <w:r w:rsidR="00B72371" w:rsidRPr="00F6355D">
        <w:t xml:space="preserve"> thus unable to hold accountable their congressmen</w:t>
      </w:r>
      <w:r w:rsidR="005D4F01" w:rsidRPr="00F6355D">
        <w:t xml:space="preserve"> in what is purportedly a participatory democracy.</w:t>
      </w:r>
      <w:r w:rsidR="007F74FA" w:rsidRPr="00F6355D">
        <w:rPr>
          <w:rStyle w:val="FootnoteReference"/>
        </w:rPr>
        <w:footnoteReference w:id="69"/>
      </w:r>
      <w:r w:rsidR="005D4F01" w:rsidRPr="00F6355D">
        <w:t xml:space="preserve"> </w:t>
      </w:r>
      <w:r w:rsidR="00A521F0" w:rsidRPr="00F6355D">
        <w:t xml:space="preserve">The PCLOB </w:t>
      </w:r>
      <w:r w:rsidR="00334E06" w:rsidRPr="00F6355D">
        <w:t>goes on to cite</w:t>
      </w:r>
      <w:r w:rsidR="00F96D83" w:rsidRPr="00F6355D">
        <w:t xml:space="preserve"> a number of case</w:t>
      </w:r>
      <w:r w:rsidR="00B90BAE" w:rsidRPr="00F6355D">
        <w:t>s</w:t>
      </w:r>
      <w:r w:rsidR="00A521F0" w:rsidRPr="00F6355D">
        <w:t xml:space="preserve"> that </w:t>
      </w:r>
      <w:r w:rsidR="00C767CA">
        <w:t xml:space="preserve">found </w:t>
      </w:r>
      <w:r w:rsidR="00A521F0" w:rsidRPr="00F6355D">
        <w:t xml:space="preserve">the plain language of a statute </w:t>
      </w:r>
      <w:r w:rsidR="00334E06" w:rsidRPr="00F6355D">
        <w:t>shall</w:t>
      </w:r>
      <w:r w:rsidR="00B90BAE" w:rsidRPr="00F6355D">
        <w:t xml:space="preserve"> trump</w:t>
      </w:r>
      <w:r w:rsidR="00F96D83" w:rsidRPr="00F6355D">
        <w:t xml:space="preserve"> faulty </w:t>
      </w:r>
      <w:r w:rsidR="00B90BAE" w:rsidRPr="00F6355D">
        <w:t xml:space="preserve">statutory </w:t>
      </w:r>
      <w:r w:rsidR="00DA48D7">
        <w:t>interpretation. A</w:t>
      </w:r>
      <w:r w:rsidR="00F96D83" w:rsidRPr="00F6355D">
        <w:t>s there is no ambiguity in the plain meaning of Section 215</w:t>
      </w:r>
      <w:r w:rsidR="00B90BAE" w:rsidRPr="00F6355D">
        <w:t xml:space="preserve"> the re-enactment doctrine cannot be relied upon as a meaningful defense of the 215 Program</w:t>
      </w:r>
      <w:r w:rsidR="00F96D83" w:rsidRPr="00F6355D">
        <w:t>.</w:t>
      </w:r>
    </w:p>
    <w:p w:rsidR="00C64565" w:rsidRPr="00F6355D" w:rsidRDefault="00C07D4F" w:rsidP="00D72BD1">
      <w:pPr>
        <w:pStyle w:val="TOC3"/>
      </w:pPr>
      <w:r w:rsidRPr="00F6355D">
        <w:t>4. Administration White Paper</w:t>
      </w:r>
    </w:p>
    <w:p w:rsidR="002571BF" w:rsidRPr="00F6355D" w:rsidRDefault="00916A5C" w:rsidP="00C3238D">
      <w:pPr>
        <w:spacing w:line="480" w:lineRule="auto"/>
        <w:jc w:val="both"/>
      </w:pPr>
      <w:r w:rsidRPr="00F6355D">
        <w:tab/>
      </w:r>
      <w:r w:rsidR="000E287E" w:rsidRPr="00F6355D">
        <w:t xml:space="preserve">It is telling that the first defense of the 215 Program </w:t>
      </w:r>
      <w:r w:rsidR="00514A2F">
        <w:t xml:space="preserve">presented by the Administration </w:t>
      </w:r>
      <w:r w:rsidR="000E287E" w:rsidRPr="00F6355D">
        <w:t xml:space="preserve">in </w:t>
      </w:r>
      <w:r w:rsidR="00514A2F">
        <w:t xml:space="preserve">its </w:t>
      </w:r>
      <w:r w:rsidR="004F1A44">
        <w:t>interpretation of the statute</w:t>
      </w:r>
      <w:r w:rsidR="000E287E" w:rsidRPr="00F6355D">
        <w:t xml:space="preserve"> states, “The collection of telephony metadata in bulk . . . complies with Section 215, </w:t>
      </w:r>
      <w:r w:rsidR="000E287E" w:rsidRPr="00F6355D">
        <w:rPr>
          <w:i/>
        </w:rPr>
        <w:t>as fourteen different judges of the FISC have concluded</w:t>
      </w:r>
      <w:r w:rsidR="000E287E" w:rsidRPr="00F6355D">
        <w:t xml:space="preserve"> in issuing orders[.]”</w:t>
      </w:r>
      <w:r w:rsidR="000E287E" w:rsidRPr="00F6355D">
        <w:rPr>
          <w:rStyle w:val="FootnoteReference"/>
        </w:rPr>
        <w:footnoteReference w:id="70"/>
      </w:r>
      <w:r w:rsidR="003B7D33" w:rsidRPr="00F6355D">
        <w:t xml:space="preserve"> (emphasis added).</w:t>
      </w:r>
      <w:r w:rsidR="000E287E" w:rsidRPr="00F6355D">
        <w:t xml:space="preserve"> </w:t>
      </w:r>
      <w:r w:rsidR="002571BF" w:rsidRPr="00F6355D">
        <w:t xml:space="preserve">The second </w:t>
      </w:r>
      <w:r w:rsidR="004F1A44">
        <w:t>preliminary</w:t>
      </w:r>
      <w:r w:rsidR="00237BBB" w:rsidRPr="00F6355D">
        <w:t xml:space="preserve"> </w:t>
      </w:r>
      <w:r w:rsidR="002571BF" w:rsidRPr="00F6355D">
        <w:t>point of defense:</w:t>
      </w:r>
      <w:r w:rsidR="00F115FD" w:rsidRPr="00F6355D">
        <w:t xml:space="preserve"> “This collection, moreover, occurs only in a context in which the Government’s acquisition, use, and dissemination of the information are subject to strict judicial oversight and rigorous protections to prevent its misuse.”</w:t>
      </w:r>
      <w:r w:rsidR="00321CAD" w:rsidRPr="00F6355D">
        <w:rPr>
          <w:rStyle w:val="FootnoteReference"/>
        </w:rPr>
        <w:footnoteReference w:id="71"/>
      </w:r>
      <w:r w:rsidR="00F115FD" w:rsidRPr="00F6355D">
        <w:t xml:space="preserve"> </w:t>
      </w:r>
      <w:r w:rsidR="006E0300" w:rsidRPr="00F6355D">
        <w:t>But w</w:t>
      </w:r>
      <w:r w:rsidR="00DE785C" w:rsidRPr="00F6355D">
        <w:t xml:space="preserve">hy not begin the </w:t>
      </w:r>
      <w:r w:rsidR="002571BF" w:rsidRPr="00F6355D">
        <w:t>analysis at the very foundation –</w:t>
      </w:r>
      <w:r w:rsidR="00DE785C" w:rsidRPr="00F6355D">
        <w:t xml:space="preserve"> with the statute? Instead, to borrow a familiar term, the </w:t>
      </w:r>
      <w:r w:rsidR="00AA08E2" w:rsidRPr="00F6355D">
        <w:t>Administration</w:t>
      </w:r>
      <w:r w:rsidR="00372572" w:rsidRPr="00F6355D">
        <w:t>’s analysis</w:t>
      </w:r>
      <w:r w:rsidR="00DE785C" w:rsidRPr="00F6355D">
        <w:t xml:space="preserve"> begins one hop</w:t>
      </w:r>
      <w:r w:rsidR="004F1A44">
        <w:t xml:space="preserve"> from the law, with judicial review,</w:t>
      </w:r>
      <w:r w:rsidR="002571BF" w:rsidRPr="00F6355D">
        <w:t xml:space="preserve"> and</w:t>
      </w:r>
      <w:r w:rsidR="004F1A44">
        <w:t xml:space="preserve"> then two hops from the law, </w:t>
      </w:r>
      <w:r w:rsidR="00DE785C" w:rsidRPr="00F6355D">
        <w:t>governmen</w:t>
      </w:r>
      <w:r w:rsidR="002571BF" w:rsidRPr="00F6355D">
        <w:t>tal oversight.</w:t>
      </w:r>
    </w:p>
    <w:p w:rsidR="001116F6" w:rsidRPr="00F6355D" w:rsidRDefault="002571BF" w:rsidP="00C3238D">
      <w:pPr>
        <w:spacing w:line="480" w:lineRule="auto"/>
        <w:jc w:val="both"/>
      </w:pPr>
      <w:r w:rsidRPr="00F6355D">
        <w:tab/>
        <w:t>Digging a lit</w:t>
      </w:r>
      <w:r w:rsidR="000626BB" w:rsidRPr="00F6355D">
        <w:t xml:space="preserve">tle deeper, the Government </w:t>
      </w:r>
      <w:r w:rsidR="00E84943" w:rsidRPr="00F6355D">
        <w:t xml:space="preserve">assures the reader that </w:t>
      </w:r>
      <w:r w:rsidR="00211715">
        <w:t xml:space="preserve">the </w:t>
      </w:r>
      <w:r w:rsidR="00E84943" w:rsidRPr="00F6355D">
        <w:t>FBI</w:t>
      </w:r>
      <w:r w:rsidR="004F1A44">
        <w:t>’s</w:t>
      </w:r>
      <w:r w:rsidR="00E84943" w:rsidRPr="00F6355D">
        <w:t xml:space="preserve"> authorized investigations are conducted in accordance </w:t>
      </w:r>
      <w:r w:rsidR="00065D93" w:rsidRPr="00F6355D">
        <w:t>“</w:t>
      </w:r>
      <w:r w:rsidR="00E84943" w:rsidRPr="00F6355D">
        <w:t xml:space="preserve">with the </w:t>
      </w:r>
      <w:r w:rsidR="00065D93" w:rsidRPr="00F6355D">
        <w:rPr>
          <w:i/>
        </w:rPr>
        <w:t>Attorney General’s Guidelines for Domestic FBI Operations</w:t>
      </w:r>
      <w:r w:rsidR="00065D93" w:rsidRPr="00F6355D">
        <w:t xml:space="preserve">, U.S. Dep’t of Justice (2008)” and that the FBI is not only authorized </w:t>
      </w:r>
      <w:r w:rsidR="00211715">
        <w:t>to utilize</w:t>
      </w:r>
      <w:r w:rsidR="00065D93" w:rsidRPr="00F6355D">
        <w:t xml:space="preserve"> every tool (namely Section 215) at its disposal but is </w:t>
      </w:r>
      <w:r w:rsidR="00065D93" w:rsidRPr="00F6355D">
        <w:rPr>
          <w:i/>
        </w:rPr>
        <w:t>required</w:t>
      </w:r>
      <w:r w:rsidR="00065D93" w:rsidRPr="00F6355D">
        <w:t xml:space="preserve"> to do so.</w:t>
      </w:r>
      <w:r w:rsidR="00065D93" w:rsidRPr="00F6355D">
        <w:rPr>
          <w:rStyle w:val="FootnoteReference"/>
        </w:rPr>
        <w:footnoteReference w:id="72"/>
      </w:r>
      <w:r w:rsidR="00065D93" w:rsidRPr="00F6355D">
        <w:t xml:space="preserve"> </w:t>
      </w:r>
      <w:r w:rsidR="00ED6BB3" w:rsidRPr="00F6355D">
        <w:t>The difficulty here is</w:t>
      </w:r>
      <w:r w:rsidR="005E27A8" w:rsidRPr="00F6355D">
        <w:t xml:space="preserve"> </w:t>
      </w:r>
      <w:r w:rsidR="00ED6BB3" w:rsidRPr="00F6355D">
        <w:t xml:space="preserve">– as we will see below </w:t>
      </w:r>
      <w:r w:rsidR="00ED6BB3" w:rsidRPr="00F6355D">
        <w:softHyphen/>
        <w:t>–</w:t>
      </w:r>
      <w:r w:rsidR="005E27A8" w:rsidRPr="00F6355D">
        <w:t xml:space="preserve"> that investigation</w:t>
      </w:r>
      <w:r w:rsidR="00ED6BB3" w:rsidRPr="00F6355D">
        <w:t>s</w:t>
      </w:r>
      <w:r w:rsidR="005E27A8" w:rsidRPr="00F6355D">
        <w:t xml:space="preserve"> conducted under Section 215 are </w:t>
      </w:r>
      <w:r w:rsidR="005E27A8" w:rsidRPr="00F6355D">
        <w:rPr>
          <w:i/>
        </w:rPr>
        <w:t>not</w:t>
      </w:r>
      <w:r w:rsidR="005E27A8" w:rsidRPr="00F6355D">
        <w:t xml:space="preserve"> done by the FBI, they are done by the NSA.  </w:t>
      </w:r>
    </w:p>
    <w:p w:rsidR="00447224" w:rsidRPr="00F6355D" w:rsidRDefault="001116F6" w:rsidP="00C3238D">
      <w:pPr>
        <w:spacing w:line="480" w:lineRule="auto"/>
        <w:jc w:val="both"/>
      </w:pPr>
      <w:r w:rsidRPr="00F6355D">
        <w:tab/>
      </w:r>
      <w:r w:rsidR="00B7220A" w:rsidRPr="00F6355D">
        <w:t xml:space="preserve">Moving to the issue of relevancy </w:t>
      </w:r>
      <w:r w:rsidR="0055765A">
        <w:t>in</w:t>
      </w:r>
      <w:r w:rsidR="003C443F">
        <w:t xml:space="preserve"> an</w:t>
      </w:r>
      <w:r w:rsidR="00B7220A" w:rsidRPr="00F6355D">
        <w:t xml:space="preserve"> authorize</w:t>
      </w:r>
      <w:r w:rsidR="00904E32" w:rsidRPr="00F6355D">
        <w:t>d</w:t>
      </w:r>
      <w:r w:rsidR="00B7220A" w:rsidRPr="00F6355D">
        <w:t xml:space="preserve"> investigation</w:t>
      </w:r>
      <w:r w:rsidR="00904E32" w:rsidRPr="00F6355D">
        <w:t>,</w:t>
      </w:r>
      <w:r w:rsidR="00B7220A" w:rsidRPr="00F6355D">
        <w:t xml:space="preserve"> </w:t>
      </w:r>
      <w:r w:rsidR="0055765A">
        <w:t xml:space="preserve">much like the opinion from Judge Eagan, </w:t>
      </w:r>
      <w:r w:rsidR="00B7220A" w:rsidRPr="00F6355D">
        <w:t xml:space="preserve">the White Paper states, “[I]n the circumstance where the Government has reason to believe that conducting </w:t>
      </w:r>
      <w:r w:rsidR="000A3C6B" w:rsidRPr="00F6355D">
        <w:t>a search of a broad collection of telephon</w:t>
      </w:r>
      <w:r w:rsidR="000C0CE9" w:rsidRPr="00F6355D">
        <w:t>y metadata records will produce</w:t>
      </w:r>
      <w:r w:rsidR="000A3C6B" w:rsidRPr="00F6355D">
        <w:t xml:space="preserve"> counterterrorism information</w:t>
      </w:r>
      <w:r w:rsidR="00B2362F">
        <w:t xml:space="preserve"> </w:t>
      </w:r>
      <w:r w:rsidR="000A3C6B" w:rsidRPr="00F6355D">
        <w:t>–</w:t>
      </w:r>
      <w:r w:rsidR="00B2362F">
        <w:t xml:space="preserve"> </w:t>
      </w:r>
      <w:r w:rsidR="000A3C6B" w:rsidRPr="00F6355D">
        <w:t>and that it is necessary to collect a large volume of data in order to employ the analytic tools needed to identify that information</w:t>
      </w:r>
      <w:r w:rsidR="000A3C6B" w:rsidRPr="00F6355D">
        <w:softHyphen/>
      </w:r>
      <w:r w:rsidR="00B2362F">
        <w:t xml:space="preserve"> </w:t>
      </w:r>
      <w:r w:rsidR="000A3C6B" w:rsidRPr="00F6355D">
        <w:t>–</w:t>
      </w:r>
      <w:r w:rsidR="00B2362F">
        <w:t xml:space="preserve"> </w:t>
      </w:r>
      <w:r w:rsidR="000A3C6B" w:rsidRPr="00F6355D">
        <w:t>the standard of relevance under Section 215 is satisfied.”</w:t>
      </w:r>
      <w:r w:rsidR="000A3C6B" w:rsidRPr="00F6355D">
        <w:rPr>
          <w:rStyle w:val="FootnoteReference"/>
        </w:rPr>
        <w:footnoteReference w:id="73"/>
      </w:r>
      <w:r w:rsidR="006C0D65" w:rsidRPr="00F6355D">
        <w:t xml:space="preserve"> </w:t>
      </w:r>
      <w:r w:rsidR="00C12C42" w:rsidRPr="00F6355D">
        <w:t xml:space="preserve">Drawing on a volume of </w:t>
      </w:r>
      <w:r w:rsidR="00B2362F">
        <w:t>criminal and</w:t>
      </w:r>
      <w:r w:rsidR="00F45271" w:rsidRPr="00F6355D">
        <w:t xml:space="preserve"> administrative </w:t>
      </w:r>
      <w:r w:rsidR="00C12C42" w:rsidRPr="00F6355D">
        <w:t xml:space="preserve">case law, the White Paper builds an argument that permits bulk collection of </w:t>
      </w:r>
      <w:r w:rsidR="00A76368" w:rsidRPr="00F6355D">
        <w:t xml:space="preserve">individuals’ </w:t>
      </w:r>
      <w:r w:rsidR="00C12C42" w:rsidRPr="00F6355D">
        <w:t>re</w:t>
      </w:r>
      <w:r w:rsidR="00884DC1" w:rsidRPr="00F6355D">
        <w:t xml:space="preserve">cords even when it is </w:t>
      </w:r>
      <w:r w:rsidR="00A76368" w:rsidRPr="00F6355D">
        <w:t>known by government officials</w:t>
      </w:r>
      <w:r w:rsidR="00884DC1" w:rsidRPr="00F6355D">
        <w:t xml:space="preserve"> that a proportion of the information collected </w:t>
      </w:r>
      <w:r w:rsidR="000C0CE9" w:rsidRPr="00F6355D">
        <w:t xml:space="preserve">under Section 215 </w:t>
      </w:r>
      <w:r w:rsidR="00884DC1" w:rsidRPr="00F6355D">
        <w:t xml:space="preserve">will have no bearing on an investigation. </w:t>
      </w:r>
      <w:r w:rsidR="00241EF3" w:rsidRPr="00F6355D">
        <w:t xml:space="preserve"> </w:t>
      </w:r>
      <w:r w:rsidR="00051D16" w:rsidRPr="00F6355D">
        <w:t>The White Paper states, “It is reasonable to conclude that Congress had that broad concept of relevance when it incorporated this standard into Section 215. The statutory relevance standard in 215, theref</w:t>
      </w:r>
      <w:r w:rsidR="00AA39AE" w:rsidRPr="00F6355D">
        <w:t xml:space="preserve">ore, should be interpreted to </w:t>
      </w:r>
      <w:r w:rsidR="00F45271" w:rsidRPr="00F6355D">
        <w:t>be</w:t>
      </w:r>
      <w:r w:rsidR="00051D16" w:rsidRPr="00F6355D">
        <w:t xml:space="preserve"> at least as broad as the standard of relevance that has long governed ordinary civil discovery and criminal </w:t>
      </w:r>
      <w:r w:rsidR="00AA39AE" w:rsidRPr="00F6355D">
        <w:t>and administrative investigations, which allows the broad collection of records when necessary to identify the directly pertinent documents.”</w:t>
      </w:r>
      <w:r w:rsidR="00AA39AE" w:rsidRPr="00F6355D">
        <w:rPr>
          <w:rStyle w:val="FootnoteReference"/>
        </w:rPr>
        <w:footnoteReference w:id="74"/>
      </w:r>
      <w:r w:rsidR="00AA39AE" w:rsidRPr="00F6355D">
        <w:t xml:space="preserve"> Although, the White Paper concedes that the cited cases are not representative of the sc</w:t>
      </w:r>
      <w:r w:rsidR="00F45271" w:rsidRPr="00F6355D">
        <w:t xml:space="preserve">ale of collection at issue in the </w:t>
      </w:r>
      <w:r w:rsidR="00AA39AE" w:rsidRPr="00F6355D">
        <w:t>215</w:t>
      </w:r>
      <w:r w:rsidR="00F45271" w:rsidRPr="00F6355D">
        <w:t xml:space="preserve"> Program</w:t>
      </w:r>
      <w:r w:rsidR="00F5364B" w:rsidRPr="00F6355D">
        <w:t xml:space="preserve">, the Administration feels that “[the cases] </w:t>
      </w:r>
      <w:r w:rsidR="00C87E3D" w:rsidRPr="00F6355D">
        <w:t>do show that the ‘relevance’ standard affords considerable latitude, where necessary, and depending on the context, to collect a large volume of data in order to find the key bits of information contained within.”</w:t>
      </w:r>
      <w:r w:rsidR="003C7050" w:rsidRPr="00F6355D">
        <w:t xml:space="preserve"> </w:t>
      </w:r>
      <w:r w:rsidR="00BD73B1" w:rsidRPr="00F6355D">
        <w:t>The White Paper asserts</w:t>
      </w:r>
      <w:r w:rsidR="00447224" w:rsidRPr="00F6355D">
        <w:t xml:space="preserve">, nonetheless, </w:t>
      </w:r>
      <w:r w:rsidR="00BD73B1" w:rsidRPr="00F6355D">
        <w:t xml:space="preserve">that Congress </w:t>
      </w:r>
      <w:r w:rsidR="00447224" w:rsidRPr="00F6355D">
        <w:t>intended Secti</w:t>
      </w:r>
      <w:r w:rsidR="002B7D1D" w:rsidRPr="00F6355D">
        <w:t>on 215 to be particularly broad</w:t>
      </w:r>
      <w:r w:rsidR="00447224" w:rsidRPr="00F6355D">
        <w:t xml:space="preserve">. </w:t>
      </w:r>
    </w:p>
    <w:p w:rsidR="004B2FD6" w:rsidRDefault="00447224" w:rsidP="00C3238D">
      <w:pPr>
        <w:spacing w:line="480" w:lineRule="auto"/>
        <w:jc w:val="both"/>
      </w:pPr>
      <w:r w:rsidRPr="00F6355D">
        <w:tab/>
      </w:r>
      <w:r w:rsidR="00337B25">
        <w:t>On the</w:t>
      </w:r>
      <w:r w:rsidR="0067746B" w:rsidRPr="00F6355D">
        <w:t xml:space="preserve"> issue of ongoing daily metadata collection, the White Paper</w:t>
      </w:r>
      <w:r w:rsidR="00095D2B" w:rsidRPr="00F6355D">
        <w:t xml:space="preserve"> maintains</w:t>
      </w:r>
      <w:r w:rsidR="00A7023E" w:rsidRPr="00F6355D">
        <w:t xml:space="preserve"> that nothing</w:t>
      </w:r>
      <w:r w:rsidR="00843AA5" w:rsidRPr="00F6355D">
        <w:t xml:space="preserve"> in Section 215, FISA as a whole, </w:t>
      </w:r>
      <w:r w:rsidR="003133E8" w:rsidRPr="00F6355D">
        <w:t xml:space="preserve">or </w:t>
      </w:r>
      <w:r w:rsidR="00843AA5" w:rsidRPr="00F6355D">
        <w:t xml:space="preserve">the </w:t>
      </w:r>
      <w:r w:rsidR="003133E8" w:rsidRPr="00F6355D">
        <w:t>legislative history</w:t>
      </w:r>
      <w:r w:rsidR="00A7023E" w:rsidRPr="00F6355D">
        <w:t xml:space="preserve"> </w:t>
      </w:r>
      <w:r w:rsidR="0067746B" w:rsidRPr="00F6355D">
        <w:t xml:space="preserve">suggests that </w:t>
      </w:r>
      <w:r w:rsidR="003133E8" w:rsidRPr="00F6355D">
        <w:t xml:space="preserve">Congress intended </w:t>
      </w:r>
      <w:r w:rsidR="00095D2B" w:rsidRPr="00F6355D">
        <w:t xml:space="preserve">FISC orders </w:t>
      </w:r>
      <w:r w:rsidR="003133E8" w:rsidRPr="00F6355D">
        <w:t>to</w:t>
      </w:r>
      <w:r w:rsidR="00095D2B" w:rsidRPr="00F6355D">
        <w:t xml:space="preserve"> be limited only </w:t>
      </w:r>
      <w:r w:rsidR="003133E8" w:rsidRPr="00F6355D">
        <w:t xml:space="preserve">to </w:t>
      </w:r>
      <w:r w:rsidR="00095D2B" w:rsidRPr="00F6355D">
        <w:t>previously created records.</w:t>
      </w:r>
      <w:r w:rsidR="00843AA5" w:rsidRPr="00F6355D">
        <w:t xml:space="preserve"> </w:t>
      </w:r>
      <w:r w:rsidR="00B278EB" w:rsidRPr="00F6355D">
        <w:t>The Paper states, “The fact that the requested information has not yet been created at the time of application, and that its production is requested on an ongoing basis, does not affect the basic character of the in</w:t>
      </w:r>
      <w:r w:rsidR="00A45D1B" w:rsidRPr="00F6355D">
        <w:t>f</w:t>
      </w:r>
      <w:r w:rsidR="00B278EB" w:rsidRPr="00F6355D">
        <w:t>o</w:t>
      </w:r>
      <w:r w:rsidR="00A45D1B" w:rsidRPr="00F6355D">
        <w:t>r</w:t>
      </w:r>
      <w:r w:rsidR="00B278EB" w:rsidRPr="00F6355D">
        <w:t>mation as ‘documents,’ ‘records</w:t>
      </w:r>
      <w:r w:rsidR="00992AA7" w:rsidRPr="00F6355D">
        <w:t>,’ or</w:t>
      </w:r>
      <w:r w:rsidR="00A45D1B" w:rsidRPr="00F6355D">
        <w:t xml:space="preserve"> other ‘tangible things’ subject to production under the statute.”</w:t>
      </w:r>
      <w:r w:rsidR="00F97143" w:rsidRPr="00F6355D">
        <w:t xml:space="preserve">  The White Paper adds that “[t]his type of prospective order also provides efficient administration for all parties involved</w:t>
      </w:r>
      <w:r w:rsidR="0097649F">
        <w:t xml:space="preserve"> </w:t>
      </w:r>
      <w:r w:rsidR="00F97143" w:rsidRPr="00F6355D">
        <w:softHyphen/>
        <w:t>–</w:t>
      </w:r>
      <w:r w:rsidR="0097649F">
        <w:t xml:space="preserve"> </w:t>
      </w:r>
      <w:r w:rsidR="00F97143" w:rsidRPr="00F6355D">
        <w:t>the Court, the Government, and the provider.”</w:t>
      </w:r>
      <w:r w:rsidR="00A45D1B" w:rsidRPr="00F6355D">
        <w:rPr>
          <w:rStyle w:val="FootnoteReference"/>
        </w:rPr>
        <w:footnoteReference w:id="75"/>
      </w:r>
      <w:r w:rsidR="00992AA7" w:rsidRPr="00F6355D">
        <w:t xml:space="preserve"> </w:t>
      </w:r>
    </w:p>
    <w:p w:rsidR="00C07D4F" w:rsidRPr="00F6355D" w:rsidRDefault="00C07D4F" w:rsidP="00C3238D">
      <w:pPr>
        <w:spacing w:line="480" w:lineRule="auto"/>
        <w:jc w:val="both"/>
      </w:pPr>
    </w:p>
    <w:p w:rsidR="00EE4AD3" w:rsidRPr="00F6355D" w:rsidRDefault="00C07D4F" w:rsidP="00D72BD1">
      <w:pPr>
        <w:pStyle w:val="TOC3"/>
      </w:pPr>
      <w:r w:rsidRPr="00F6355D">
        <w:t>5</w:t>
      </w:r>
      <w:r w:rsidR="00360C50" w:rsidRPr="00F6355D">
        <w:t>. PCLOB</w:t>
      </w:r>
      <w:r w:rsidR="00303B92" w:rsidRPr="00F6355D">
        <w:t xml:space="preserve"> Report</w:t>
      </w:r>
    </w:p>
    <w:p w:rsidR="004F7877" w:rsidRPr="00F6355D" w:rsidRDefault="00E81C0A" w:rsidP="00C3238D">
      <w:pPr>
        <w:spacing w:line="480" w:lineRule="auto"/>
        <w:jc w:val="both"/>
      </w:pPr>
      <w:r w:rsidRPr="00F6355D">
        <w:tab/>
        <w:t>Though the five members</w:t>
      </w:r>
      <w:r w:rsidR="00EE4AD3" w:rsidRPr="00F6355D">
        <w:t xml:space="preserve"> were split </w:t>
      </w:r>
      <w:r w:rsidRPr="00F6355D">
        <w:t xml:space="preserve">on some of the statutory </w:t>
      </w:r>
      <w:r w:rsidR="00AE475D" w:rsidRPr="00F6355D">
        <w:t>conclusions</w:t>
      </w:r>
      <w:r w:rsidRPr="00F6355D">
        <w:t xml:space="preserve">, the </w:t>
      </w:r>
      <w:r w:rsidR="003C0317" w:rsidRPr="00F6355D">
        <w:t>PCLOB</w:t>
      </w:r>
      <w:r w:rsidRPr="00F6355D">
        <w:t xml:space="preserve"> </w:t>
      </w:r>
      <w:r w:rsidR="00AE475D" w:rsidRPr="00F6355D">
        <w:t>as a whole</w:t>
      </w:r>
      <w:r w:rsidRPr="00F6355D">
        <w:t xml:space="preserve"> found that “Section 215 does not provide an adequate legal basis to support </w:t>
      </w:r>
      <w:r w:rsidR="0007403D" w:rsidRPr="00F6355D">
        <w:t>[the 215 Program].”</w:t>
      </w:r>
      <w:r w:rsidR="0007403D" w:rsidRPr="00F6355D">
        <w:rPr>
          <w:rStyle w:val="FootnoteReference"/>
        </w:rPr>
        <w:footnoteReference w:id="76"/>
      </w:r>
      <w:r w:rsidR="00312669">
        <w:t xml:space="preserve"> The Board offers the following</w:t>
      </w:r>
      <w:r w:rsidR="00AE475D" w:rsidRPr="00F6355D">
        <w:t xml:space="preserve"> points upon which their decision was based: (i) production orders do not name a specific </w:t>
      </w:r>
      <w:r w:rsidR="00186DA9" w:rsidRPr="00F6355D">
        <w:t xml:space="preserve">investigation conducted by </w:t>
      </w:r>
      <w:r w:rsidR="003D0013">
        <w:t xml:space="preserve">the </w:t>
      </w:r>
      <w:r w:rsidR="00AE475D" w:rsidRPr="00F6355D">
        <w:t>Federal Bureau of Inve</w:t>
      </w:r>
      <w:r w:rsidR="00D32F62">
        <w:t>stigations</w:t>
      </w:r>
      <w:r w:rsidR="00C23AC3" w:rsidRPr="00F6355D">
        <w:t>;</w:t>
      </w:r>
      <w:r w:rsidR="00D32F62">
        <w:t xml:space="preserve"> </w:t>
      </w:r>
      <w:r w:rsidR="00C23AC3" w:rsidRPr="00F6355D">
        <w:t>(ii) wholesale collection of U.S. persons’ telephony metadata can in no way be considered “</w:t>
      </w:r>
      <w:r w:rsidR="006A19A1" w:rsidRPr="00F6355D">
        <w:t xml:space="preserve">relevant”; (iii) prospective metadata collection </w:t>
      </w:r>
      <w:r w:rsidR="003446D1" w:rsidRPr="00F6355D">
        <w:softHyphen/>
      </w:r>
      <w:r w:rsidR="003446D1" w:rsidRPr="00F6355D">
        <w:softHyphen/>
        <w:t xml:space="preserve">– </w:t>
      </w:r>
      <w:r w:rsidR="00AB46AF" w:rsidRPr="00F6355D">
        <w:t>as currently c</w:t>
      </w:r>
      <w:r w:rsidR="003446D1" w:rsidRPr="00F6355D">
        <w:t xml:space="preserve">onducted under the 215 Program – </w:t>
      </w:r>
      <w:r w:rsidR="006A19A1" w:rsidRPr="00F6355D">
        <w:t>lacks a foundation in the s</w:t>
      </w:r>
      <w:r w:rsidR="00AB46AF" w:rsidRPr="00F6355D">
        <w:t>tatute and circumvents other sections of FISA</w:t>
      </w:r>
      <w:r w:rsidR="00C23AC3" w:rsidRPr="00F6355D">
        <w:t xml:space="preserve">; </w:t>
      </w:r>
      <w:r w:rsidR="00AB46AF" w:rsidRPr="00F6355D">
        <w:t xml:space="preserve">(iv) </w:t>
      </w:r>
      <w:r w:rsidR="006138D7" w:rsidRPr="00F6355D">
        <w:t>the statut</w:t>
      </w:r>
      <w:r w:rsidR="004F7877" w:rsidRPr="00F6355D">
        <w:t xml:space="preserve">e permits the FBI, not the NSA, to obtain tangible things for use in </w:t>
      </w:r>
      <w:r w:rsidR="00D32F62">
        <w:t>an</w:t>
      </w:r>
      <w:r w:rsidR="00D2497F">
        <w:t xml:space="preserve"> investigation</w:t>
      </w:r>
      <w:r w:rsidR="006138D7" w:rsidRPr="00F6355D">
        <w:t>; and (v) the 215 Program violates the Electronic Communications Privacy Act.</w:t>
      </w:r>
      <w:r w:rsidR="004F7877" w:rsidRPr="00F6355D">
        <w:t xml:space="preserve"> </w:t>
      </w:r>
      <w:r w:rsidR="00D32F62">
        <w:t>E</w:t>
      </w:r>
      <w:r w:rsidR="004F7877" w:rsidRPr="00F6355D">
        <w:t>ach of these points</w:t>
      </w:r>
      <w:r w:rsidR="00D32F62">
        <w:t xml:space="preserve"> will be taken </w:t>
      </w:r>
      <w:r w:rsidR="004F7877" w:rsidRPr="00F6355D">
        <w:t>individually below.</w:t>
      </w:r>
    </w:p>
    <w:p w:rsidR="003C0317" w:rsidRPr="00F6355D" w:rsidRDefault="00684237" w:rsidP="00C3238D">
      <w:pPr>
        <w:pStyle w:val="TOC40"/>
        <w:spacing w:line="480" w:lineRule="auto"/>
      </w:pPr>
      <w:r w:rsidRPr="00F6355D">
        <w:tab/>
      </w:r>
      <w:r w:rsidR="00186DA9" w:rsidRPr="00F6355D">
        <w:t>(i)</w:t>
      </w:r>
      <w:r w:rsidR="003C0317" w:rsidRPr="00F6355D">
        <w:t xml:space="preserve"> “</w:t>
      </w:r>
      <w:r w:rsidR="0003148A" w:rsidRPr="00F6355D">
        <w:t xml:space="preserve">An </w:t>
      </w:r>
      <w:r w:rsidR="003446D1" w:rsidRPr="00F6355D">
        <w:t>Authorized Investigation</w:t>
      </w:r>
      <w:r w:rsidR="003C0317" w:rsidRPr="00F6355D">
        <w:t>”</w:t>
      </w:r>
    </w:p>
    <w:p w:rsidR="008771EC" w:rsidRPr="00F6355D" w:rsidRDefault="003C0317" w:rsidP="00C3238D">
      <w:pPr>
        <w:spacing w:line="480" w:lineRule="auto"/>
        <w:jc w:val="both"/>
      </w:pPr>
      <w:r w:rsidRPr="00F6355D">
        <w:tab/>
        <w:t xml:space="preserve">The Board members </w:t>
      </w:r>
      <w:r w:rsidR="00A762EA" w:rsidRPr="00F6355D">
        <w:t>begi</w:t>
      </w:r>
      <w:r w:rsidR="00700BCE" w:rsidRPr="00F6355D">
        <w:t xml:space="preserve">n with a </w:t>
      </w:r>
      <w:r w:rsidR="005E0DFA" w:rsidRPr="00F6355D">
        <w:t xml:space="preserve">look at the portion of the statute that </w:t>
      </w:r>
      <w:r w:rsidR="00700BCE" w:rsidRPr="00F6355D">
        <w:t>states,</w:t>
      </w:r>
      <w:r w:rsidR="005E0DFA" w:rsidRPr="00F6355D">
        <w:t xml:space="preserve"> “</w:t>
      </w:r>
      <w:r w:rsidR="00700BCE" w:rsidRPr="00F6355D">
        <w:t xml:space="preserve">Each application under this section . . . shall include . . . </w:t>
      </w:r>
      <w:r w:rsidR="002A374D" w:rsidRPr="00F6355D">
        <w:t>a statement of facts showing that there are reasonable grounds to believe that the tangible things sought are relevant to an authorized investigation</w:t>
      </w:r>
      <w:r w:rsidR="00700BCE" w:rsidRPr="00F6355D">
        <w:t>”.</w:t>
      </w:r>
      <w:r w:rsidR="00700BCE" w:rsidRPr="00F6355D">
        <w:rPr>
          <w:rStyle w:val="FootnoteReference"/>
        </w:rPr>
        <w:footnoteReference w:id="77"/>
      </w:r>
      <w:r w:rsidR="00700BCE" w:rsidRPr="00F6355D">
        <w:t xml:space="preserve"> </w:t>
      </w:r>
      <w:r w:rsidR="002966A5">
        <w:t xml:space="preserve">By </w:t>
      </w:r>
      <w:r w:rsidR="006D0936">
        <w:t>scrutinizing</w:t>
      </w:r>
      <w:r w:rsidR="00AE77FE" w:rsidRPr="00F6355D">
        <w:t xml:space="preserve"> the phrase “</w:t>
      </w:r>
      <w:r w:rsidR="00AE77FE" w:rsidRPr="00F6355D">
        <w:rPr>
          <w:i/>
        </w:rPr>
        <w:t>an</w:t>
      </w:r>
      <w:r w:rsidR="00AE77FE" w:rsidRPr="00F6355D">
        <w:t xml:space="preserve"> authorized investigation”, which is in the singular, the Board concludes that the legislators inte</w:t>
      </w:r>
      <w:r w:rsidR="00D2497F">
        <w:t>nded that such an</w:t>
      </w:r>
      <w:r w:rsidR="00AE77FE" w:rsidRPr="00F6355D">
        <w:t xml:space="preserve"> investigation </w:t>
      </w:r>
      <w:r w:rsidR="00690F97" w:rsidRPr="00F6355D">
        <w:t>must</w:t>
      </w:r>
      <w:r w:rsidR="00AE77FE" w:rsidRPr="00F6355D">
        <w:t xml:space="preserve"> be </w:t>
      </w:r>
      <w:r w:rsidR="00690F97" w:rsidRPr="00F6355D">
        <w:t xml:space="preserve">a </w:t>
      </w:r>
      <w:r w:rsidR="00AE77FE" w:rsidRPr="00F6355D">
        <w:t>particularized</w:t>
      </w:r>
      <w:r w:rsidR="00690F97" w:rsidRPr="00F6355D">
        <w:t xml:space="preserve"> investigation</w:t>
      </w:r>
      <w:r w:rsidR="00AE77FE" w:rsidRPr="00F6355D">
        <w:t xml:space="preserve">. </w:t>
      </w:r>
      <w:r w:rsidR="00690F97" w:rsidRPr="00F6355D">
        <w:t>As the 215 Pr</w:t>
      </w:r>
      <w:r w:rsidR="00976656" w:rsidRPr="00F6355D">
        <w:t xml:space="preserve">ogram </w:t>
      </w:r>
      <w:r w:rsidR="006D0936">
        <w:t>currently operates</w:t>
      </w:r>
      <w:r w:rsidR="00976656" w:rsidRPr="00F6355D">
        <w:t xml:space="preserve">, FBI production orders do not specify a </w:t>
      </w:r>
      <w:r w:rsidR="002966A5">
        <w:t>specific</w:t>
      </w:r>
      <w:r w:rsidR="00976656" w:rsidRPr="00F6355D">
        <w:t xml:space="preserve"> investigation; rather, </w:t>
      </w:r>
      <w:r w:rsidR="00F74D8B" w:rsidRPr="00F6355D">
        <w:t>the orders name multiple terrorist groups</w:t>
      </w:r>
      <w:r w:rsidR="00976656" w:rsidRPr="00F6355D">
        <w:t xml:space="preserve"> </w:t>
      </w:r>
      <w:r w:rsidR="002966A5">
        <w:t xml:space="preserve">and states that they are all </w:t>
      </w:r>
      <w:r w:rsidR="006D0936">
        <w:t>under investigation</w:t>
      </w:r>
      <w:r w:rsidR="00F74D8B" w:rsidRPr="00F6355D">
        <w:t xml:space="preserve">. </w:t>
      </w:r>
      <w:r w:rsidR="009E3D56" w:rsidRPr="00F6355D">
        <w:t xml:space="preserve">The Board succinctly said of </w:t>
      </w:r>
      <w:r w:rsidR="002966A5">
        <w:t>this type of</w:t>
      </w:r>
      <w:r w:rsidR="008771EC" w:rsidRPr="00F6355D">
        <w:t xml:space="preserve"> </w:t>
      </w:r>
      <w:r w:rsidR="006D0936" w:rsidRPr="00F6355D">
        <w:t>general</w:t>
      </w:r>
      <w:r w:rsidR="002966A5">
        <w:t xml:space="preserve"> production order</w:t>
      </w:r>
      <w:r w:rsidR="009E3D56" w:rsidRPr="00F6355D">
        <w:t>, “At its core, the approach boils down to the proposition that essentially all telephone records are relevant to essentially all international terrorism investigations.”</w:t>
      </w:r>
      <w:r w:rsidR="008771EC" w:rsidRPr="00F6355D">
        <w:t xml:space="preserve"> In further support of their belief that Congress did not i</w:t>
      </w:r>
      <w:r w:rsidR="0003148A" w:rsidRPr="00F6355D">
        <w:t xml:space="preserve">ntend for such </w:t>
      </w:r>
      <w:r w:rsidR="00B42EE4">
        <w:t>general</w:t>
      </w:r>
      <w:r w:rsidR="00445C31" w:rsidRPr="00F6355D">
        <w:t xml:space="preserve"> orders, the Board points out that the statute specifically prohibits </w:t>
      </w:r>
      <w:r w:rsidR="0003148A" w:rsidRPr="00F6355D">
        <w:t>records</w:t>
      </w:r>
      <w:r w:rsidR="00445C31" w:rsidRPr="00F6355D">
        <w:t xml:space="preserve"> collection f</w:t>
      </w:r>
      <w:r w:rsidR="00E634F0">
        <w:t>or a “threat assessment,”</w:t>
      </w:r>
      <w:r w:rsidR="006D0936">
        <w:t xml:space="preserve"> which</w:t>
      </w:r>
      <w:r w:rsidR="00445C31" w:rsidRPr="00F6355D">
        <w:t xml:space="preserve"> cannot be based on “arbitrary or </w:t>
      </w:r>
      <w:r w:rsidR="0003148A" w:rsidRPr="00F6355D">
        <w:t>groundless speculation.”</w:t>
      </w:r>
      <w:r w:rsidR="0003148A" w:rsidRPr="00F6355D">
        <w:rPr>
          <w:rStyle w:val="FootnoteReference"/>
        </w:rPr>
        <w:footnoteReference w:id="78"/>
      </w:r>
      <w:r w:rsidR="0003148A" w:rsidRPr="00F6355D">
        <w:t xml:space="preserve"> </w:t>
      </w:r>
    </w:p>
    <w:p w:rsidR="008D1EF4" w:rsidRPr="00F6355D" w:rsidRDefault="00684237" w:rsidP="00C3238D">
      <w:pPr>
        <w:pStyle w:val="TOC40"/>
        <w:spacing w:line="480" w:lineRule="auto"/>
      </w:pPr>
      <w:r w:rsidRPr="00F6355D">
        <w:tab/>
      </w:r>
      <w:r w:rsidR="0003148A" w:rsidRPr="00F6355D">
        <w:t xml:space="preserve">(ii) </w:t>
      </w:r>
      <w:r w:rsidR="008D1EF4" w:rsidRPr="00F6355D">
        <w:t>Relevance</w:t>
      </w:r>
    </w:p>
    <w:p w:rsidR="00B81888" w:rsidRPr="00F6355D" w:rsidRDefault="008D1EF4" w:rsidP="00C3238D">
      <w:pPr>
        <w:spacing w:line="480" w:lineRule="auto"/>
        <w:jc w:val="both"/>
      </w:pPr>
      <w:r w:rsidRPr="00F6355D">
        <w:tab/>
      </w:r>
      <w:r w:rsidR="00A439B7" w:rsidRPr="00F6355D">
        <w:t>In order to secure approval for a production request, the FBI must present</w:t>
      </w:r>
      <w:r w:rsidR="00D62186" w:rsidRPr="00F6355D">
        <w:t xml:space="preserve"> to the FISC</w:t>
      </w:r>
      <w:r w:rsidR="00A439B7" w:rsidRPr="00F6355D">
        <w:t xml:space="preserve">, “a statement of facts showing that there are reasonable grounds to believe that the tangible things sought are </w:t>
      </w:r>
      <w:r w:rsidR="00A439B7" w:rsidRPr="00F6355D">
        <w:rPr>
          <w:i/>
        </w:rPr>
        <w:t>relevant</w:t>
      </w:r>
      <w:r w:rsidR="00A439B7" w:rsidRPr="00F6355D">
        <w:t xml:space="preserve"> to an authorized investigation”</w:t>
      </w:r>
      <w:r w:rsidR="00D62186" w:rsidRPr="00F6355D">
        <w:t xml:space="preserve"> (emphasis added). </w:t>
      </w:r>
      <w:r w:rsidR="00B42EE4">
        <w:t>As we saw above</w:t>
      </w:r>
      <w:r w:rsidR="0023708A">
        <w:t xml:space="preserve"> and </w:t>
      </w:r>
      <w:r w:rsidR="0042475A">
        <w:t xml:space="preserve">as </w:t>
      </w:r>
      <w:r w:rsidR="0023708A">
        <w:t>the Board is inclined to point out</w:t>
      </w:r>
      <w:r w:rsidR="00B42EE4">
        <w:t>, the FISC</w:t>
      </w:r>
      <w:r w:rsidR="00B4720F" w:rsidRPr="00F6355D">
        <w:t>’s position is that all records are relevant because “bulk collection is necessary for NSA to employ [analytic] tools that are likely to generate useful investigative leads</w:t>
      </w:r>
      <w:r w:rsidR="003446D1" w:rsidRPr="00F6355D">
        <w:t xml:space="preserve"> to help identify and track terrorist operatives”</w:t>
      </w:r>
      <w:r w:rsidR="00B4720F" w:rsidRPr="00F6355D">
        <w:t xml:space="preserve"> </w:t>
      </w:r>
      <w:r w:rsidR="003446D1" w:rsidRPr="00F6355D">
        <w:t>reasoning that “the subset of terrorist communication is ultimately contained within the whole of the metadata produced, but can only be found after the production is aggregated and then queried using identifiers determined to be associated with identified international terrorist organizations[.]”</w:t>
      </w:r>
      <w:r w:rsidR="003446D1" w:rsidRPr="00F6355D">
        <w:rPr>
          <w:rStyle w:val="FootnoteReference"/>
        </w:rPr>
        <w:footnoteReference w:id="79"/>
      </w:r>
      <w:r w:rsidR="003446D1" w:rsidRPr="00F6355D">
        <w:t xml:space="preserve"> </w:t>
      </w:r>
      <w:r w:rsidR="00B4720F" w:rsidRPr="00F6355D">
        <w:t>The Board</w:t>
      </w:r>
      <w:r w:rsidR="003446D1" w:rsidRPr="00F6355D">
        <w:t>, however,</w:t>
      </w:r>
      <w:r w:rsidR="00B4720F" w:rsidRPr="00F6355D">
        <w:t xml:space="preserve"> contends that </w:t>
      </w:r>
      <w:r w:rsidR="00A93DF8" w:rsidRPr="00F6355D">
        <w:t xml:space="preserve">this interpretation of the statute is circular and renders the meaning of “relevant” to naught. </w:t>
      </w:r>
      <w:r w:rsidR="0021700C">
        <w:t>“The</w:t>
      </w:r>
      <w:r w:rsidR="00FA2DED" w:rsidRPr="00F6355D">
        <w:t xml:space="preserve"> implication of this reasoning is that if the government develops an effective means of searching through </w:t>
      </w:r>
      <w:r w:rsidR="00FA2DED" w:rsidRPr="00F6355D">
        <w:rPr>
          <w:i/>
        </w:rPr>
        <w:t xml:space="preserve">everything </w:t>
      </w:r>
      <w:r w:rsidR="00FA2DED" w:rsidRPr="00F6355D">
        <w:t xml:space="preserve">in order to find </w:t>
      </w:r>
      <w:r w:rsidR="00FA2DED" w:rsidRPr="00F6355D">
        <w:rPr>
          <w:i/>
        </w:rPr>
        <w:t>something</w:t>
      </w:r>
      <w:r w:rsidR="00FA2DED" w:rsidRPr="00F6355D">
        <w:t xml:space="preserve">, then </w:t>
      </w:r>
      <w:r w:rsidR="00FA2DED" w:rsidRPr="00F6355D">
        <w:rPr>
          <w:i/>
        </w:rPr>
        <w:t>everything</w:t>
      </w:r>
      <w:r w:rsidR="00FA2DED" w:rsidRPr="00F6355D">
        <w:t xml:space="preserve"> becomes relevant to its investigation.”</w:t>
      </w:r>
      <w:r w:rsidR="0021700C">
        <w:t xml:space="preserve"> (emphasis in original).</w:t>
      </w:r>
      <w:r w:rsidR="00FA2DED" w:rsidRPr="00F6355D">
        <w:rPr>
          <w:rStyle w:val="FootnoteReference"/>
        </w:rPr>
        <w:footnoteReference w:id="80"/>
      </w:r>
      <w:r w:rsidR="00FA2DED" w:rsidRPr="00F6355D">
        <w:t xml:space="preserve"> </w:t>
      </w:r>
    </w:p>
    <w:p w:rsidR="00BD3EF1" w:rsidRPr="00F6355D" w:rsidRDefault="00B81888" w:rsidP="00C3238D">
      <w:pPr>
        <w:spacing w:line="480" w:lineRule="auto"/>
        <w:jc w:val="both"/>
      </w:pPr>
      <w:r w:rsidRPr="00F6355D">
        <w:tab/>
      </w:r>
      <w:r w:rsidR="00BD3EF1" w:rsidRPr="00F6355D">
        <w:t>The Board goes on to say that the Govern</w:t>
      </w:r>
      <w:r w:rsidR="00802505">
        <w:t xml:space="preserve">ment’s “statement of facts” </w:t>
      </w:r>
      <w:r w:rsidR="00EF5E4C">
        <w:t>is</w:t>
      </w:r>
      <w:r w:rsidR="00802505">
        <w:t xml:space="preserve"> </w:t>
      </w:r>
      <w:r w:rsidR="00BD3EF1" w:rsidRPr="00F6355D">
        <w:t>limited to only two facts: that terrorists use telephones, and that it is necessary for NSA analysis to collect all calling records. “Neither of these facts shows why a particular group of telephone records may be relevant to an investigation, because the government has not limited its request to any particular group at all[.]”</w:t>
      </w:r>
      <w:r w:rsidR="00E67A99" w:rsidRPr="00F6355D">
        <w:t xml:space="preserve"> The Board observes that if all telephony metadata can be considered relevant under the above construction, then why not all metadata, or even all data.</w:t>
      </w:r>
      <w:r w:rsidR="00BD3EF1" w:rsidRPr="00F6355D">
        <w:rPr>
          <w:rStyle w:val="FootnoteReference"/>
        </w:rPr>
        <w:footnoteReference w:id="81"/>
      </w:r>
      <w:r w:rsidR="00BD3EF1" w:rsidRPr="00F6355D">
        <w:t xml:space="preserve"> </w:t>
      </w:r>
    </w:p>
    <w:p w:rsidR="00A762EA" w:rsidRPr="00F6355D" w:rsidRDefault="00684237" w:rsidP="00C3238D">
      <w:pPr>
        <w:pStyle w:val="TOC40"/>
        <w:spacing w:line="480" w:lineRule="auto"/>
      </w:pPr>
      <w:r w:rsidRPr="00F6355D">
        <w:tab/>
      </w:r>
      <w:r w:rsidR="00BD3EF1" w:rsidRPr="00F6355D">
        <w:t>(iii)</w:t>
      </w:r>
      <w:r w:rsidR="00E67A99" w:rsidRPr="00F6355D">
        <w:t xml:space="preserve"> </w:t>
      </w:r>
      <w:r w:rsidR="00A762EA" w:rsidRPr="00F6355D">
        <w:t>Prospective Orders</w:t>
      </w:r>
    </w:p>
    <w:p w:rsidR="00DC0384" w:rsidRPr="00F6355D" w:rsidRDefault="00A762EA" w:rsidP="00C3238D">
      <w:pPr>
        <w:spacing w:line="480" w:lineRule="auto"/>
        <w:jc w:val="both"/>
      </w:pPr>
      <w:r w:rsidRPr="00F6355D">
        <w:tab/>
      </w:r>
      <w:r w:rsidR="004F20B1" w:rsidRPr="00F6355D">
        <w:t xml:space="preserve">Production orders are used to prospectively collect data on an ongoing daily basis </w:t>
      </w:r>
      <w:r w:rsidR="00EF5E4C">
        <w:t>for</w:t>
      </w:r>
      <w:r w:rsidR="004F20B1" w:rsidRPr="00F6355D">
        <w:t xml:space="preserve"> a period of ninety days, meaning that when the FISC grants a production order the records to be collected are not yet in existence</w:t>
      </w:r>
      <w:r w:rsidR="004D4185" w:rsidRPr="00F6355D">
        <w:t xml:space="preserve">. </w:t>
      </w:r>
      <w:r w:rsidR="004F20B1" w:rsidRPr="00F6355D">
        <w:t xml:space="preserve"> </w:t>
      </w:r>
      <w:r w:rsidR="006E65BD" w:rsidRPr="00F6355D">
        <w:t xml:space="preserve">The Board points out that, under normal circumstances of discovery, when a subpoena is </w:t>
      </w:r>
      <w:r w:rsidR="009143C4" w:rsidRPr="00F6355D">
        <w:t>issued</w:t>
      </w:r>
      <w:r w:rsidR="006E65BD" w:rsidRPr="00F6355D">
        <w:t xml:space="preserve"> it requires the production of items already in </w:t>
      </w:r>
      <w:r w:rsidR="009143C4" w:rsidRPr="00F6355D">
        <w:t xml:space="preserve">the </w:t>
      </w:r>
      <w:r w:rsidR="006E65BD" w:rsidRPr="00F6355D">
        <w:t xml:space="preserve">possession of the </w:t>
      </w:r>
      <w:r w:rsidR="00067E28">
        <w:t xml:space="preserve">subpoena </w:t>
      </w:r>
      <w:r w:rsidR="006E65BD" w:rsidRPr="00F6355D">
        <w:t>recipient</w:t>
      </w:r>
      <w:r w:rsidR="009143C4" w:rsidRPr="00F6355D">
        <w:t xml:space="preserve"> and does not require the forfeiture of newly generated items over a set period of time as </w:t>
      </w:r>
      <w:r w:rsidR="00067E28">
        <w:t>items</w:t>
      </w:r>
      <w:r w:rsidR="009143C4" w:rsidRPr="00F6355D">
        <w:t xml:space="preserve"> are created</w:t>
      </w:r>
      <w:r w:rsidR="006E65BD" w:rsidRPr="00F6355D">
        <w:t>.</w:t>
      </w:r>
      <w:r w:rsidR="009143C4" w:rsidRPr="00F6355D">
        <w:rPr>
          <w:rStyle w:val="FootnoteReference"/>
        </w:rPr>
        <w:footnoteReference w:id="82"/>
      </w:r>
      <w:r w:rsidR="006E65BD" w:rsidRPr="00F6355D">
        <w:t xml:space="preserve">  </w:t>
      </w:r>
      <w:r w:rsidR="00067E28">
        <w:t>T</w:t>
      </w:r>
      <w:r w:rsidR="009143C4" w:rsidRPr="00F6355D">
        <w:t>he</w:t>
      </w:r>
      <w:r w:rsidR="00DC0384" w:rsidRPr="00F6355D">
        <w:t xml:space="preserve"> Government</w:t>
      </w:r>
      <w:r w:rsidR="00067E28">
        <w:t>, however,</w:t>
      </w:r>
      <w:r w:rsidR="00DC0384" w:rsidRPr="00F6355D">
        <w:t xml:space="preserve"> </w:t>
      </w:r>
      <w:r w:rsidR="00C004AE">
        <w:t>states,</w:t>
      </w:r>
      <w:r w:rsidR="00DC0384" w:rsidRPr="00F6355D">
        <w:t xml:space="preserve"> </w:t>
      </w:r>
      <w:r w:rsidR="009143C4" w:rsidRPr="00F6355D">
        <w:t>“nothing in the statute suggests that FISC orders may relate only to records previously created.”</w:t>
      </w:r>
      <w:r w:rsidR="00DC0384" w:rsidRPr="00F6355D">
        <w:rPr>
          <w:rStyle w:val="FootnoteReference"/>
        </w:rPr>
        <w:footnoteReference w:id="83"/>
      </w:r>
      <w:r w:rsidR="009143C4" w:rsidRPr="00F6355D">
        <w:t xml:space="preserve">  Three points are offered </w:t>
      </w:r>
      <w:r w:rsidR="00C004AE">
        <w:t>by the PCLOB to refute this claim</w:t>
      </w:r>
      <w:r w:rsidR="009143C4" w:rsidRPr="00F6355D">
        <w:t xml:space="preserve">. </w:t>
      </w:r>
    </w:p>
    <w:p w:rsidR="006300BC" w:rsidRDefault="009143C4" w:rsidP="006300BC">
      <w:pPr>
        <w:ind w:left="720" w:right="720"/>
        <w:jc w:val="both"/>
      </w:pPr>
      <w:r w:rsidRPr="00F6355D">
        <w:t xml:space="preserve">First, the statute does not purport to authorize such orders, and case law involving the production of records in analogous contexts indicates that such authority cannot be inferred from statutory silence. </w:t>
      </w:r>
      <w:r w:rsidR="00DC0384" w:rsidRPr="00F6355D">
        <w:t>Second, the text of Section 215 strongly suggests that it contemplates only the acquisition of items that already are in existence at the time the court issues an order. Third, interpreting Sec</w:t>
      </w:r>
      <w:r w:rsidR="00A11137" w:rsidRPr="00F6355D">
        <w:t>t</w:t>
      </w:r>
      <w:r w:rsidR="00DC0384" w:rsidRPr="00F6355D">
        <w:t xml:space="preserve">ion 215 to permit the prospective collection of </w:t>
      </w:r>
      <w:r w:rsidR="00DC0384" w:rsidRPr="00F6355D">
        <w:softHyphen/>
      </w:r>
      <w:r w:rsidR="00DC0384" w:rsidRPr="00F6355D">
        <w:rPr>
          <w:i/>
        </w:rPr>
        <w:t>telephone records</w:t>
      </w:r>
      <w:r w:rsidR="00DC0384" w:rsidRPr="00F6355D">
        <w:rPr>
          <w:i/>
        </w:rPr>
        <w:softHyphen/>
        <w:t xml:space="preserve"> </w:t>
      </w:r>
      <w:r w:rsidR="00DC0384" w:rsidRPr="00F6355D">
        <w:t xml:space="preserve">renders superfluous another provision of FISA that directly authorizes such collection </w:t>
      </w:r>
      <w:r w:rsidR="00DC0384" w:rsidRPr="00F6355D">
        <w:softHyphen/>
        <w:t>– circumventing the limitations associated with that other provision and violating the interpretive principle that one provision in a statute should not be construed to make another superfluous.</w:t>
      </w:r>
      <w:r w:rsidR="0041605A">
        <w:t xml:space="preserve"> (emphasis in original)</w:t>
      </w:r>
      <w:r w:rsidR="00892488">
        <w:t>.</w:t>
      </w:r>
      <w:r w:rsidR="00DC0384" w:rsidRPr="00F6355D">
        <w:rPr>
          <w:rStyle w:val="FootnoteReference"/>
        </w:rPr>
        <w:footnoteReference w:id="84"/>
      </w:r>
    </w:p>
    <w:p w:rsidR="00566EFF" w:rsidRPr="00F6355D" w:rsidRDefault="00566EFF" w:rsidP="006300BC">
      <w:pPr>
        <w:ind w:left="720" w:right="720"/>
        <w:jc w:val="both"/>
      </w:pPr>
    </w:p>
    <w:p w:rsidR="00C47CC3" w:rsidRPr="00F6355D" w:rsidRDefault="007D7DF8" w:rsidP="00C3238D">
      <w:pPr>
        <w:spacing w:line="480" w:lineRule="auto"/>
        <w:jc w:val="both"/>
      </w:pPr>
      <w:r w:rsidRPr="00F6355D">
        <w:tab/>
        <w:t xml:space="preserve">On this first point, the Board </w:t>
      </w:r>
      <w:r w:rsidR="00160108" w:rsidRPr="00F6355D">
        <w:t>finds that the civil discovery cases presented by the Government in support of prospective ongoing</w:t>
      </w:r>
      <w:r w:rsidR="0041605A">
        <w:t xml:space="preserve"> record</w:t>
      </w:r>
      <w:r w:rsidR="007F7041" w:rsidRPr="00F6355D">
        <w:t xml:space="preserve"> production</w:t>
      </w:r>
      <w:r w:rsidR="00160108" w:rsidRPr="00F6355D">
        <w:t xml:space="preserve"> </w:t>
      </w:r>
      <w:r w:rsidR="00E47AD3" w:rsidRPr="00F6355D">
        <w:t>are</w:t>
      </w:r>
      <w:r w:rsidR="007F7041" w:rsidRPr="00F6355D">
        <w:t xml:space="preserve"> not </w:t>
      </w:r>
      <w:r w:rsidR="00E47AD3" w:rsidRPr="00F6355D">
        <w:t>comparable</w:t>
      </w:r>
      <w:r w:rsidR="007F7041" w:rsidRPr="00F6355D">
        <w:t xml:space="preserve"> the 215 Program – that is </w:t>
      </w:r>
      <w:r w:rsidR="0041605A">
        <w:t xml:space="preserve">to say </w:t>
      </w:r>
      <w:r w:rsidR="007F7041" w:rsidRPr="00F6355D">
        <w:t>they do not direct a party to produce on an on-going basis not yet created records.</w:t>
      </w:r>
      <w:r w:rsidR="007F7041" w:rsidRPr="00F6355D">
        <w:rPr>
          <w:rStyle w:val="FootnoteReference"/>
        </w:rPr>
        <w:footnoteReference w:id="85"/>
      </w:r>
      <w:r w:rsidR="007F7041" w:rsidRPr="00F6355D">
        <w:t xml:space="preserve"> </w:t>
      </w:r>
      <w:r w:rsidR="00DD1B10" w:rsidRPr="00F6355D">
        <w:t>Rather, the F</w:t>
      </w:r>
      <w:r w:rsidR="0042238D" w:rsidRPr="00F6355D">
        <w:t xml:space="preserve">ederal Rules of Civil Procedure, under the heading “Supplementing Disclosures and Responses”, allows for the </w:t>
      </w:r>
      <w:r w:rsidR="0042238D" w:rsidRPr="00F6355D">
        <w:rPr>
          <w:i/>
        </w:rPr>
        <w:t>supplementation</w:t>
      </w:r>
      <w:r w:rsidR="002E0C9C" w:rsidRPr="00F6355D">
        <w:t xml:space="preserve"> </w:t>
      </w:r>
      <w:r w:rsidR="0042238D" w:rsidRPr="00F6355D">
        <w:t>to an original</w:t>
      </w:r>
      <w:r w:rsidR="00D70A76" w:rsidRPr="00F6355D">
        <w:t xml:space="preserve"> subpoena. </w:t>
      </w:r>
    </w:p>
    <w:p w:rsidR="00162DB9" w:rsidRPr="00F6355D" w:rsidRDefault="00C47CC3" w:rsidP="00C3238D">
      <w:pPr>
        <w:spacing w:line="480" w:lineRule="auto"/>
        <w:jc w:val="both"/>
      </w:pPr>
      <w:r w:rsidRPr="00F6355D">
        <w:tab/>
      </w:r>
      <w:r w:rsidR="005A7E86">
        <w:t>Additionally, t</w:t>
      </w:r>
      <w:r w:rsidR="00892488">
        <w:t xml:space="preserve">he Board </w:t>
      </w:r>
      <w:r w:rsidR="005A7E86">
        <w:t>observe</w:t>
      </w:r>
      <w:r w:rsidR="00952FBE">
        <w:t>s</w:t>
      </w:r>
      <w:r w:rsidR="00892488">
        <w:t xml:space="preserve"> that</w:t>
      </w:r>
      <w:r w:rsidRPr="00F6355D">
        <w:t xml:space="preserve"> </w:t>
      </w:r>
      <w:r w:rsidR="00892488">
        <w:t>Section 215 contains</w:t>
      </w:r>
      <w:r w:rsidRPr="00F6355D">
        <w:t xml:space="preserve"> strongly suggestive language that points to the conclusion that the statute was written with the intention </w:t>
      </w:r>
      <w:r w:rsidR="00952FBE">
        <w:t>to limit</w:t>
      </w:r>
      <w:r w:rsidRPr="00F6355D">
        <w:t xml:space="preserve"> production orders to </w:t>
      </w:r>
      <w:r w:rsidR="00892488">
        <w:t xml:space="preserve">records </w:t>
      </w:r>
      <w:r w:rsidRPr="00F6355D">
        <w:t xml:space="preserve">already </w:t>
      </w:r>
      <w:r w:rsidR="00892488">
        <w:t>in existence</w:t>
      </w:r>
      <w:r w:rsidRPr="00F6355D">
        <w:t xml:space="preserve">. For example, </w:t>
      </w:r>
      <w:r w:rsidR="002525E4" w:rsidRPr="00F6355D">
        <w:t>a</w:t>
      </w:r>
      <w:r w:rsidR="003B7743" w:rsidRPr="00F6355D">
        <w:t xml:space="preserve"> FISC </w:t>
      </w:r>
      <w:r w:rsidR="002525E4" w:rsidRPr="00F6355D">
        <w:t xml:space="preserve">judge may issue an </w:t>
      </w:r>
      <w:r w:rsidR="002525E4" w:rsidRPr="00F6355D">
        <w:rPr>
          <w:i/>
        </w:rPr>
        <w:t>ex parte</w:t>
      </w:r>
      <w:r w:rsidR="002525E4" w:rsidRPr="00F6355D">
        <w:t xml:space="preserve"> order “approving the </w:t>
      </w:r>
      <w:r w:rsidR="002525E4" w:rsidRPr="00F6355D">
        <w:rPr>
          <w:i/>
        </w:rPr>
        <w:t>release of</w:t>
      </w:r>
      <w:r w:rsidR="00041452">
        <w:t xml:space="preserve"> tangible things</w:t>
      </w:r>
      <w:r w:rsidR="005D2857" w:rsidRPr="00F6355D">
        <w:t xml:space="preserve">” </w:t>
      </w:r>
      <w:r w:rsidR="00041452">
        <w:t xml:space="preserve">(emphasis in original). </w:t>
      </w:r>
      <w:r w:rsidR="005D2857" w:rsidRPr="00F6355D">
        <w:t>This</w:t>
      </w:r>
      <w:r w:rsidR="002525E4" w:rsidRPr="00F6355D">
        <w:t xml:space="preserve"> word choice implies that the tangible things sought </w:t>
      </w:r>
      <w:r w:rsidR="00041452">
        <w:t>should exist at the time a production order is issued</w:t>
      </w:r>
      <w:r w:rsidR="002525E4" w:rsidRPr="00F6355D">
        <w:t xml:space="preserve">. </w:t>
      </w:r>
      <w:r w:rsidR="00FB61C5" w:rsidRPr="00F6355D">
        <w:t>Furthermore, p</w:t>
      </w:r>
      <w:r w:rsidR="000352CA" w:rsidRPr="00F6355D">
        <w:t>roduction orders must include a date on which the tangible</w:t>
      </w:r>
      <w:r w:rsidR="00FB61C5" w:rsidRPr="00F6355D">
        <w:t xml:space="preserve"> things sought must be produced; this provision is written in the singular, and does not seem to allow for ongoing daily </w:t>
      </w:r>
      <w:r w:rsidR="003513B8">
        <w:t xml:space="preserve">metadata </w:t>
      </w:r>
      <w:r w:rsidR="00FB61C5" w:rsidRPr="00F6355D">
        <w:t xml:space="preserve">production for a period of ninety days. </w:t>
      </w:r>
      <w:r w:rsidR="00996572" w:rsidRPr="00F6355D">
        <w:t xml:space="preserve">The Board members also look at what was not </w:t>
      </w:r>
      <w:r w:rsidR="00162DB9" w:rsidRPr="00F6355D">
        <w:t xml:space="preserve">present </w:t>
      </w:r>
      <w:r w:rsidR="00996572" w:rsidRPr="00F6355D">
        <w:t xml:space="preserve">in the statute, namely a provision that </w:t>
      </w:r>
      <w:r w:rsidR="00162DB9" w:rsidRPr="00F6355D">
        <w:t>clearly illustrates</w:t>
      </w:r>
      <w:r w:rsidR="00996572" w:rsidRPr="00F6355D">
        <w:t xml:space="preserve"> the protocol for </w:t>
      </w:r>
      <w:r w:rsidR="00AC04E0">
        <w:t>prospective production orders; l</w:t>
      </w:r>
      <w:r w:rsidR="00162DB9" w:rsidRPr="00F6355D">
        <w:t>imits and procedures are included when</w:t>
      </w:r>
      <w:r w:rsidR="00996572" w:rsidRPr="00F6355D">
        <w:t xml:space="preserve"> Congress intends for a statu</w:t>
      </w:r>
      <w:r w:rsidR="00162DB9" w:rsidRPr="00F6355D">
        <w:t>te to be used in such a manner.</w:t>
      </w:r>
      <w:r w:rsidR="00996572" w:rsidRPr="00F6355D">
        <w:t xml:space="preserve"> </w:t>
      </w:r>
    </w:p>
    <w:p w:rsidR="00162DB9" w:rsidRPr="00F6355D" w:rsidRDefault="00162DB9" w:rsidP="00C3238D">
      <w:pPr>
        <w:spacing w:line="480" w:lineRule="auto"/>
        <w:jc w:val="both"/>
      </w:pPr>
      <w:r w:rsidRPr="00F6355D">
        <w:tab/>
      </w:r>
      <w:r w:rsidR="00E737E5" w:rsidRPr="00F6355D">
        <w:t>Under s</w:t>
      </w:r>
      <w:r w:rsidR="006C1D47" w:rsidRPr="00F6355D">
        <w:t>ection 1842 of FISA</w:t>
      </w:r>
      <w:r w:rsidR="00AC04E0">
        <w:t>,</w:t>
      </w:r>
      <w:r w:rsidR="006C1D47" w:rsidRPr="00F6355D">
        <w:t xml:space="preserve"> </w:t>
      </w:r>
      <w:r w:rsidR="007C0F6D" w:rsidRPr="00F6355D">
        <w:t>the Attorney General or his designee “</w:t>
      </w:r>
      <w:r w:rsidR="007C0F6D" w:rsidRPr="00F6355D">
        <w:rPr>
          <w:rStyle w:val="ptext-"/>
        </w:rPr>
        <w:t>may make an application for an order or an extension of an order authorizing or approving the installation and use of a pen register or trap and trace device for any investigation.”</w:t>
      </w:r>
      <w:r w:rsidR="007C0F6D" w:rsidRPr="00F6355D">
        <w:rPr>
          <w:rStyle w:val="FootnoteReference"/>
        </w:rPr>
        <w:footnoteReference w:id="86"/>
      </w:r>
      <w:r w:rsidR="007C0F6D" w:rsidRPr="00F6355D">
        <w:rPr>
          <w:rStyle w:val="ptext-"/>
        </w:rPr>
        <w:t xml:space="preserve"> </w:t>
      </w:r>
      <w:r w:rsidR="00172575" w:rsidRPr="00F6355D">
        <w:rPr>
          <w:rStyle w:val="ptext-"/>
        </w:rPr>
        <w:t>The use of these devices will be limited to a period of time not exceeding ninety days</w:t>
      </w:r>
      <w:r w:rsidR="00CA6CB8" w:rsidRPr="00F6355D">
        <w:rPr>
          <w:rStyle w:val="ptext-"/>
        </w:rPr>
        <w:t>,</w:t>
      </w:r>
      <w:r w:rsidR="00172575" w:rsidRPr="00F6355D">
        <w:rPr>
          <w:rStyle w:val="ptext-"/>
        </w:rPr>
        <w:t xml:space="preserve"> the results of which shall be furnished to a Government official on regular intervals over the life of the order.</w:t>
      </w:r>
      <w:r w:rsidR="00172575" w:rsidRPr="00F6355D">
        <w:rPr>
          <w:rStyle w:val="FootnoteReference"/>
        </w:rPr>
        <w:footnoteReference w:id="87"/>
      </w:r>
      <w:r w:rsidR="00CE1280" w:rsidRPr="00F6355D">
        <w:rPr>
          <w:rStyle w:val="ptext-"/>
        </w:rPr>
        <w:t xml:space="preserve"> The Board argues “[c]onstruing Section 215 to permit ongoing acquisition of the very same data renders FISA’s pen register provision superfluous.</w:t>
      </w:r>
      <w:r w:rsidR="00C133BA" w:rsidRPr="00F6355D">
        <w:rPr>
          <w:rStyle w:val="ptext-"/>
        </w:rPr>
        <w:t>”</w:t>
      </w:r>
      <w:r w:rsidR="00C133BA" w:rsidRPr="00F6355D">
        <w:rPr>
          <w:rStyle w:val="FootnoteReference"/>
        </w:rPr>
        <w:footnoteReference w:id="88"/>
      </w:r>
      <w:r w:rsidR="00C133BA" w:rsidRPr="00F6355D">
        <w:rPr>
          <w:rStyle w:val="ptext-"/>
        </w:rPr>
        <w:t xml:space="preserve"> </w:t>
      </w:r>
      <w:r w:rsidR="00DF3D96" w:rsidRPr="00F6355D">
        <w:rPr>
          <w:rStyle w:val="ptext-"/>
        </w:rPr>
        <w:t xml:space="preserve"> </w:t>
      </w:r>
    </w:p>
    <w:p w:rsidR="000636F3" w:rsidRPr="00F6355D" w:rsidRDefault="00684237" w:rsidP="00C3238D">
      <w:pPr>
        <w:pStyle w:val="TOC40"/>
        <w:spacing w:line="480" w:lineRule="auto"/>
      </w:pPr>
      <w:r w:rsidRPr="00F6355D">
        <w:tab/>
      </w:r>
      <w:r w:rsidR="00162DB9" w:rsidRPr="00F6355D">
        <w:t>(iv) FBI or NSA</w:t>
      </w:r>
    </w:p>
    <w:p w:rsidR="00E555DD" w:rsidRPr="00F6355D" w:rsidRDefault="00F4715F" w:rsidP="00C3238D">
      <w:pPr>
        <w:spacing w:line="480" w:lineRule="auto"/>
        <w:jc w:val="both"/>
      </w:pPr>
      <w:r w:rsidRPr="00F6355D">
        <w:tab/>
        <w:t>While there were dissenti</w:t>
      </w:r>
      <w:r w:rsidR="00B51B67" w:rsidRPr="00F6355D">
        <w:t>ng voices within the Board</w:t>
      </w:r>
      <w:r w:rsidR="008B6BB3">
        <w:t xml:space="preserve"> on the issue of which</w:t>
      </w:r>
      <w:r w:rsidR="003E19A3">
        <w:t xml:space="preserve"> agency is authorized </w:t>
      </w:r>
      <w:r w:rsidR="008B6BB3">
        <w:t>by the statute to receive telephony metadata from a telecommunication company</w:t>
      </w:r>
      <w:r w:rsidR="00B51B67" w:rsidRPr="00F6355D">
        <w:t>, it</w:t>
      </w:r>
      <w:r w:rsidRPr="00F6355D">
        <w:t xml:space="preserve"> ultimately found </w:t>
      </w:r>
      <w:r w:rsidR="00B51B67" w:rsidRPr="00F6355D">
        <w:t>that “Section 215 expressly allows only the FBI to acquire records and other tangible things that are relevant to its foreign intelligence and counterterrorism investigations.”</w:t>
      </w:r>
      <w:r w:rsidR="00B51B67" w:rsidRPr="00F6355D">
        <w:rPr>
          <w:rStyle w:val="FootnoteReference"/>
        </w:rPr>
        <w:footnoteReference w:id="89"/>
      </w:r>
      <w:r w:rsidR="00B51B67" w:rsidRPr="00F6355D">
        <w:t xml:space="preserve">  </w:t>
      </w:r>
      <w:r w:rsidR="005C3CC1" w:rsidRPr="00F6355D">
        <w:rPr>
          <w:rStyle w:val="ptext-"/>
        </w:rPr>
        <w:t>Indeed, the</w:t>
      </w:r>
      <w:r w:rsidR="00DF3D96" w:rsidRPr="00F6355D">
        <w:rPr>
          <w:rStyle w:val="ptext-"/>
        </w:rPr>
        <w:t xml:space="preserve"> language in Section 215 </w:t>
      </w:r>
      <w:r w:rsidR="005B14B8" w:rsidRPr="00F6355D">
        <w:rPr>
          <w:rStyle w:val="ptext-"/>
        </w:rPr>
        <w:t xml:space="preserve">creates a structure that would </w:t>
      </w:r>
      <w:r w:rsidR="00055B5D" w:rsidRPr="00F6355D">
        <w:rPr>
          <w:rStyle w:val="ptext-"/>
        </w:rPr>
        <w:t>put</w:t>
      </w:r>
      <w:r w:rsidR="005B14B8" w:rsidRPr="00F6355D">
        <w:rPr>
          <w:rStyle w:val="ptext-"/>
        </w:rPr>
        <w:t xml:space="preserve"> </w:t>
      </w:r>
      <w:r w:rsidR="00055B5D" w:rsidRPr="00F6355D">
        <w:rPr>
          <w:rStyle w:val="ptext-"/>
        </w:rPr>
        <w:t xml:space="preserve">the </w:t>
      </w:r>
      <w:r w:rsidR="005B14B8" w:rsidRPr="00F6355D">
        <w:rPr>
          <w:rStyle w:val="ptext-"/>
        </w:rPr>
        <w:t>FBI</w:t>
      </w:r>
      <w:r w:rsidR="00DF3D96" w:rsidRPr="00F6355D">
        <w:rPr>
          <w:rStyle w:val="ptext-"/>
        </w:rPr>
        <w:t xml:space="preserve"> in charge of the overall management of the </w:t>
      </w:r>
      <w:r w:rsidR="008C69C7">
        <w:rPr>
          <w:rStyle w:val="ptext-"/>
        </w:rPr>
        <w:t>records received under the</w:t>
      </w:r>
      <w:r w:rsidR="005B14B8" w:rsidRPr="00F6355D">
        <w:rPr>
          <w:rStyle w:val="ptext-"/>
        </w:rPr>
        <w:t xml:space="preserve"> statute. </w:t>
      </w:r>
      <w:r w:rsidR="00157B46" w:rsidRPr="00F6355D">
        <w:rPr>
          <w:rStyle w:val="ptext-"/>
        </w:rPr>
        <w:t xml:space="preserve">For example, the statute </w:t>
      </w:r>
      <w:r w:rsidR="001E67E2" w:rsidRPr="00F6355D">
        <w:rPr>
          <w:rStyle w:val="ptext-"/>
        </w:rPr>
        <w:t xml:space="preserve">allows the FBI to </w:t>
      </w:r>
      <w:r w:rsidR="003D3013">
        <w:rPr>
          <w:rStyle w:val="ptext-"/>
        </w:rPr>
        <w:t>submit</w:t>
      </w:r>
      <w:r w:rsidR="001E67E2" w:rsidRPr="00F6355D">
        <w:rPr>
          <w:rStyle w:val="ptext-"/>
        </w:rPr>
        <w:t xml:space="preserve"> a request to the FISC for the production of any tangible things.</w:t>
      </w:r>
      <w:r w:rsidR="00636040">
        <w:rPr>
          <w:rStyle w:val="ptext-"/>
        </w:rPr>
        <w:t xml:space="preserve"> </w:t>
      </w:r>
      <w:r w:rsidR="004702C9" w:rsidRPr="00F6355D">
        <w:rPr>
          <w:rStyle w:val="ptext-"/>
        </w:rPr>
        <w:t>More pointedly, an application shall include “an enumeration of the minimization procedures adopted by the Attorney Genera</w:t>
      </w:r>
      <w:r w:rsidR="00847305" w:rsidRPr="00F6355D">
        <w:rPr>
          <w:rStyle w:val="ptext-"/>
        </w:rPr>
        <w:t>l</w:t>
      </w:r>
      <w:r w:rsidR="004702C9" w:rsidRPr="00F6355D">
        <w:rPr>
          <w:rStyle w:val="ptext-"/>
        </w:rPr>
        <w:t xml:space="preserve"> under subsection (g) that are applicable to the </w:t>
      </w:r>
      <w:r w:rsidR="004702C9" w:rsidRPr="00F6355D">
        <w:rPr>
          <w:rStyle w:val="ptext-"/>
          <w:i/>
        </w:rPr>
        <w:t>retention and dissemination by the Federal Bureau of Investigation</w:t>
      </w:r>
      <w:r w:rsidR="004702C9" w:rsidRPr="00F6355D">
        <w:rPr>
          <w:rStyle w:val="ptext-"/>
        </w:rPr>
        <w:t xml:space="preserve"> of any tangible things </w:t>
      </w:r>
      <w:r w:rsidR="00081F30" w:rsidRPr="00F6355D">
        <w:rPr>
          <w:rStyle w:val="ptext-"/>
          <w:i/>
        </w:rPr>
        <w:t>to be made available to the Federal Bureau of Investigation</w:t>
      </w:r>
      <w:r w:rsidR="00863CCB" w:rsidRPr="00F6355D">
        <w:rPr>
          <w:rStyle w:val="ptext-"/>
          <w:i/>
        </w:rPr>
        <w:t>.</w:t>
      </w:r>
      <w:r w:rsidR="00081F30" w:rsidRPr="00F6355D">
        <w:rPr>
          <w:rStyle w:val="ptext-"/>
        </w:rPr>
        <w:t>”</w:t>
      </w:r>
      <w:r w:rsidR="00081F30" w:rsidRPr="00F6355D">
        <w:rPr>
          <w:rStyle w:val="FootnoteReference"/>
        </w:rPr>
        <w:footnoteReference w:id="90"/>
      </w:r>
      <w:r w:rsidR="00081F30" w:rsidRPr="00F6355D">
        <w:rPr>
          <w:rStyle w:val="ptext-"/>
        </w:rPr>
        <w:t xml:space="preserve"> </w:t>
      </w:r>
      <w:r w:rsidR="00312297" w:rsidRPr="00F6355D">
        <w:rPr>
          <w:rStyle w:val="ptext-"/>
        </w:rPr>
        <w:t xml:space="preserve">The “Use of Information” section of 215 also notes that “Information acquired from tangible things </w:t>
      </w:r>
      <w:r w:rsidR="00312297" w:rsidRPr="00B46496">
        <w:rPr>
          <w:rStyle w:val="ptext-"/>
        </w:rPr>
        <w:t>received by the Federal Bureau of Investigation</w:t>
      </w:r>
      <w:r w:rsidR="00312297" w:rsidRPr="00F6355D">
        <w:rPr>
          <w:rStyle w:val="ptext-"/>
        </w:rPr>
        <w:t xml:space="preserve"> in response to an order </w:t>
      </w:r>
      <w:r w:rsidR="0014114E" w:rsidRPr="00F6355D">
        <w:t>. . .</w:t>
      </w:r>
      <w:r w:rsidR="00312297" w:rsidRPr="00F6355D">
        <w:t xml:space="preserve"> may be used and disclosed by Federal officers and employees </w:t>
      </w:r>
      <w:r w:rsidR="0014114E" w:rsidRPr="00F6355D">
        <w:t xml:space="preserve">. . . </w:t>
      </w:r>
      <w:r w:rsidR="00312297" w:rsidRPr="00F6355D">
        <w:t>only in accordance with the minimization procedures adopted pursuant to subsection (g). No otherwise privileged information acquired from tangible things received by the Federal Bureau of Investigation in accordance with the provisions of this subchapter shall lose its privileged character. No information acquired from tangible things received by the Federal Bureau of Investigation in response to an order under this subchapter may be used or disclosed by Federal officers or employees except for lawful purposes.</w:t>
      </w:r>
      <w:r w:rsidR="0014114E" w:rsidRPr="00F6355D">
        <w:t>”</w:t>
      </w:r>
      <w:r w:rsidR="0014114E" w:rsidRPr="00F6355D">
        <w:rPr>
          <w:rStyle w:val="FootnoteReference"/>
        </w:rPr>
        <w:footnoteReference w:id="91"/>
      </w:r>
      <w:r w:rsidR="0014114E" w:rsidRPr="00F6355D">
        <w:t xml:space="preserve"> The minimizati</w:t>
      </w:r>
      <w:r w:rsidR="001775BF" w:rsidRPr="00F6355D">
        <w:t xml:space="preserve">on procedures noted </w:t>
      </w:r>
      <w:r w:rsidR="00837042" w:rsidRPr="00F6355D">
        <w:t>in this provision</w:t>
      </w:r>
      <w:r w:rsidR="001775BF" w:rsidRPr="00F6355D">
        <w:t xml:space="preserve"> specifically name the FBI as responsible for retention and dissemination of any tangible things. </w:t>
      </w:r>
    </w:p>
    <w:p w:rsidR="00FA6B9E" w:rsidRPr="00F6355D" w:rsidRDefault="00E555DD" w:rsidP="00C3238D">
      <w:pPr>
        <w:spacing w:line="480" w:lineRule="auto"/>
        <w:jc w:val="both"/>
        <w:rPr>
          <w:rStyle w:val="ptext-"/>
        </w:rPr>
      </w:pPr>
      <w:r w:rsidRPr="00F6355D">
        <w:tab/>
      </w:r>
      <w:r w:rsidR="009828A7">
        <w:t xml:space="preserve">But under current procedures, the FBI becomes involved in an investigation </w:t>
      </w:r>
      <w:r w:rsidR="008C69C7">
        <w:t xml:space="preserve">only </w:t>
      </w:r>
      <w:r w:rsidR="009828A7">
        <w:t xml:space="preserve">after the </w:t>
      </w:r>
      <w:r w:rsidR="00D177D4" w:rsidRPr="00F6355D">
        <w:t xml:space="preserve">NSA </w:t>
      </w:r>
      <w:r w:rsidR="00C01568" w:rsidRPr="00F6355D">
        <w:t>has collected and analyzed metadata</w:t>
      </w:r>
      <w:r w:rsidR="00147D92">
        <w:t xml:space="preserve"> produced as a result of an order. If the NSA </w:t>
      </w:r>
      <w:r w:rsidR="00D568D9">
        <w:t>discovers</w:t>
      </w:r>
      <w:r w:rsidR="00147D92">
        <w:t xml:space="preserve"> co</w:t>
      </w:r>
      <w:r w:rsidR="00711276">
        <w:t>nnections between phone numbers associated with illicit activities</w:t>
      </w:r>
      <w:r w:rsidR="00D568D9">
        <w:t>,</w:t>
      </w:r>
      <w:r w:rsidR="00711276">
        <w:t xml:space="preserve"> </w:t>
      </w:r>
      <w:r w:rsidR="00147D92">
        <w:t>that information is handed off to the FBI</w:t>
      </w:r>
      <w:r w:rsidR="00E70E7D">
        <w:t xml:space="preserve"> (or other agencies within the intelligence community) for further investigation.</w:t>
      </w:r>
      <w:r w:rsidR="00C01568" w:rsidRPr="00F6355D">
        <w:t xml:space="preserve"> </w:t>
      </w:r>
      <w:r w:rsidR="00FC4286" w:rsidRPr="00F6355D">
        <w:t xml:space="preserve">NSA analysts must </w:t>
      </w:r>
      <w:r w:rsidR="00D568D9">
        <w:t>abide</w:t>
      </w:r>
      <w:r w:rsidR="00FC4286" w:rsidRPr="00F6355D">
        <w:t xml:space="preserve"> the minimization and dissemination procedures as dictated by </w:t>
      </w:r>
      <w:r w:rsidR="00207256" w:rsidRPr="00F6355D">
        <w:t xml:space="preserve">the FISC </w:t>
      </w:r>
      <w:r w:rsidR="00D568D9">
        <w:t xml:space="preserve">production </w:t>
      </w:r>
      <w:r w:rsidR="00207256" w:rsidRPr="00F6355D">
        <w:t>order</w:t>
      </w:r>
      <w:r w:rsidR="00D568D9">
        <w:t xml:space="preserve"> - </w:t>
      </w:r>
      <w:r w:rsidR="00FC4286" w:rsidRPr="00F6355D">
        <w:t xml:space="preserve">not the </w:t>
      </w:r>
      <w:r w:rsidR="00230D02" w:rsidRPr="00F6355D">
        <w:t xml:space="preserve">minimization procedures outlined in the </w:t>
      </w:r>
      <w:r w:rsidR="00D568D9">
        <w:t>statute -</w:t>
      </w:r>
      <w:r w:rsidR="00FC4286" w:rsidRPr="00F6355D">
        <w:t xml:space="preserve"> before the information is released to the appropriate intelligence agency.</w:t>
      </w:r>
      <w:r w:rsidR="00FC4286" w:rsidRPr="00F6355D">
        <w:rPr>
          <w:rStyle w:val="FootnoteReference"/>
        </w:rPr>
        <w:footnoteReference w:id="92"/>
      </w:r>
      <w:r w:rsidR="00207256" w:rsidRPr="00F6355D">
        <w:t xml:space="preserve"> </w:t>
      </w:r>
    </w:p>
    <w:p w:rsidR="00837042" w:rsidRPr="00F6355D" w:rsidRDefault="00FA6B9E" w:rsidP="00C3238D">
      <w:pPr>
        <w:spacing w:line="480" w:lineRule="auto"/>
        <w:jc w:val="both"/>
        <w:rPr>
          <w:rStyle w:val="ptext-"/>
        </w:rPr>
      </w:pPr>
      <w:r w:rsidRPr="00F6355D">
        <w:rPr>
          <w:rStyle w:val="ptext-"/>
        </w:rPr>
        <w:tab/>
      </w:r>
      <w:r w:rsidR="002529C6" w:rsidRPr="00F6355D">
        <w:rPr>
          <w:rStyle w:val="ptext-"/>
        </w:rPr>
        <w:t xml:space="preserve">Ms. Elisebeth Collins Cook, </w:t>
      </w:r>
      <w:r w:rsidR="00167FF1">
        <w:rPr>
          <w:rStyle w:val="ptext-"/>
        </w:rPr>
        <w:t xml:space="preserve">one of </w:t>
      </w:r>
      <w:r w:rsidR="0077090A">
        <w:rPr>
          <w:rStyle w:val="ptext-"/>
        </w:rPr>
        <w:t>two</w:t>
      </w:r>
      <w:r w:rsidR="00167FF1">
        <w:rPr>
          <w:rStyle w:val="ptext-"/>
        </w:rPr>
        <w:t xml:space="preserve"> di</w:t>
      </w:r>
      <w:r w:rsidR="0077090A">
        <w:rPr>
          <w:rStyle w:val="ptext-"/>
        </w:rPr>
        <w:t xml:space="preserve">ssenting voices </w:t>
      </w:r>
      <w:r w:rsidR="00167FF1">
        <w:rPr>
          <w:rStyle w:val="ptext-"/>
        </w:rPr>
        <w:t xml:space="preserve">on the Board, </w:t>
      </w:r>
      <w:r w:rsidR="002B170A" w:rsidRPr="00F6355D">
        <w:rPr>
          <w:rStyle w:val="ptext-"/>
        </w:rPr>
        <w:t xml:space="preserve">felt that the 215 Program is </w:t>
      </w:r>
      <w:r w:rsidR="000368BC">
        <w:rPr>
          <w:rStyle w:val="ptext-"/>
        </w:rPr>
        <w:t>authorized</w:t>
      </w:r>
      <w:r w:rsidR="002B170A" w:rsidRPr="00F6355D">
        <w:rPr>
          <w:rStyle w:val="ptext-"/>
        </w:rPr>
        <w:t xml:space="preserve"> under the terms of the statute. </w:t>
      </w:r>
      <w:r w:rsidR="00684237" w:rsidRPr="00F6355D">
        <w:rPr>
          <w:rStyle w:val="ptext-"/>
        </w:rPr>
        <w:t>During</w:t>
      </w:r>
      <w:r w:rsidR="002B170A" w:rsidRPr="00F6355D">
        <w:rPr>
          <w:rStyle w:val="ptext-"/>
        </w:rPr>
        <w:t xml:space="preserve"> the January 2</w:t>
      </w:r>
      <w:r w:rsidR="006E2958">
        <w:rPr>
          <w:rStyle w:val="ptext-"/>
        </w:rPr>
        <w:t>9,</w:t>
      </w:r>
      <w:r w:rsidR="0077090A">
        <w:rPr>
          <w:rStyle w:val="ptext-"/>
          <w:vertAlign w:val="superscript"/>
        </w:rPr>
        <w:t xml:space="preserve"> </w:t>
      </w:r>
      <w:r w:rsidR="0077090A">
        <w:rPr>
          <w:rStyle w:val="ptext-"/>
        </w:rPr>
        <w:t xml:space="preserve">2014 </w:t>
      </w:r>
      <w:r w:rsidR="002B170A" w:rsidRPr="00F6355D">
        <w:rPr>
          <w:rStyle w:val="ptext-"/>
        </w:rPr>
        <w:t>Senate Judiciary Committee</w:t>
      </w:r>
      <w:r w:rsidR="00FE36D0" w:rsidRPr="00F6355D">
        <w:rPr>
          <w:rStyle w:val="ptext-"/>
        </w:rPr>
        <w:t xml:space="preserve"> hearing</w:t>
      </w:r>
      <w:r w:rsidR="002B170A" w:rsidRPr="00F6355D">
        <w:rPr>
          <w:rStyle w:val="ptext-"/>
        </w:rPr>
        <w:t xml:space="preserve"> she stated, “</w:t>
      </w:r>
      <w:r w:rsidR="00FE36D0" w:rsidRPr="00F6355D">
        <w:rPr>
          <w:rStyle w:val="ptext-"/>
        </w:rPr>
        <w:t xml:space="preserve">The Board has concluded that Section 215 prohibits providers from producing documents to </w:t>
      </w:r>
      <w:r w:rsidR="003A25EB" w:rsidRPr="00F6355D">
        <w:rPr>
          <w:rStyle w:val="ptext-"/>
        </w:rPr>
        <w:t>the NSA instead of the FB</w:t>
      </w:r>
      <w:r w:rsidR="00D475DE" w:rsidRPr="00F6355D">
        <w:rPr>
          <w:rStyle w:val="ptext-"/>
        </w:rPr>
        <w:t xml:space="preserve">I . . . </w:t>
      </w:r>
      <w:r w:rsidR="003A25EB" w:rsidRPr="00F6355D">
        <w:rPr>
          <w:rStyle w:val="ptext-"/>
        </w:rPr>
        <w:t xml:space="preserve">but if you read Section 215 where it talks about production of tangible things there is no requirement whatsoever that it be made to the FBI. The </w:t>
      </w:r>
      <w:r w:rsidR="008774F0" w:rsidRPr="00F6355D">
        <w:rPr>
          <w:rStyle w:val="ptext-"/>
        </w:rPr>
        <w:t>majority</w:t>
      </w:r>
      <w:r w:rsidR="003A25EB" w:rsidRPr="00F6355D">
        <w:rPr>
          <w:rStyle w:val="ptext-"/>
        </w:rPr>
        <w:t xml:space="preserve"> has </w:t>
      </w:r>
      <w:r w:rsidR="008774F0" w:rsidRPr="00F6355D">
        <w:rPr>
          <w:rStyle w:val="ptext-"/>
        </w:rPr>
        <w:t xml:space="preserve">instead </w:t>
      </w:r>
      <w:r w:rsidR="003A25EB" w:rsidRPr="00F6355D">
        <w:rPr>
          <w:rStyle w:val="ptext-"/>
        </w:rPr>
        <w:t xml:space="preserve">cobbled together this prohibition and </w:t>
      </w:r>
      <w:r w:rsidR="008774F0" w:rsidRPr="00F6355D">
        <w:rPr>
          <w:rStyle w:val="ptext-"/>
        </w:rPr>
        <w:t>w</w:t>
      </w:r>
      <w:r w:rsidR="003A25EB" w:rsidRPr="00F6355D">
        <w:rPr>
          <w:rStyle w:val="ptext-"/>
        </w:rPr>
        <w:t xml:space="preserve">rested </w:t>
      </w:r>
      <w:r w:rsidR="008774F0" w:rsidRPr="00F6355D">
        <w:rPr>
          <w:rStyle w:val="ptext-"/>
        </w:rPr>
        <w:t>its legal analysis on this prohibition that does not appear on the face of the statute.”</w:t>
      </w:r>
      <w:r w:rsidR="002751D4" w:rsidRPr="00F6355D">
        <w:rPr>
          <w:rStyle w:val="FootnoteReference"/>
        </w:rPr>
        <w:footnoteReference w:id="93"/>
      </w:r>
      <w:r w:rsidR="002751D4" w:rsidRPr="00F6355D">
        <w:rPr>
          <w:rStyle w:val="ptext-"/>
        </w:rPr>
        <w:t xml:space="preserve"> </w:t>
      </w:r>
      <w:r w:rsidR="003D1BAB" w:rsidRPr="00F6355D">
        <w:rPr>
          <w:rStyle w:val="ptext-"/>
        </w:rPr>
        <w:t xml:space="preserve">Ms. Collins Cook is correct in saying that </w:t>
      </w:r>
      <w:r w:rsidRPr="00F6355D">
        <w:rPr>
          <w:rStyle w:val="ptext-"/>
        </w:rPr>
        <w:t>nothing in the statute explicitly prohibits the NSA from receiving it</w:t>
      </w:r>
      <w:r w:rsidR="0077090A">
        <w:rPr>
          <w:rStyle w:val="ptext-"/>
        </w:rPr>
        <w:t xml:space="preserve">ems under a production order. But, </w:t>
      </w:r>
      <w:r w:rsidRPr="00F6355D">
        <w:rPr>
          <w:rStyle w:val="ptext-"/>
        </w:rPr>
        <w:t>neither does the statute expressly state to whom</w:t>
      </w:r>
      <w:r w:rsidR="00BC100C" w:rsidRPr="00F6355D">
        <w:rPr>
          <w:rStyle w:val="ptext-"/>
        </w:rPr>
        <w:t xml:space="preserve"> </w:t>
      </w:r>
      <w:r w:rsidR="00861F7C" w:rsidRPr="00F6355D">
        <w:rPr>
          <w:rStyle w:val="ptext-"/>
        </w:rPr>
        <w:t xml:space="preserve">exactly </w:t>
      </w:r>
      <w:r w:rsidR="00BC100C" w:rsidRPr="00F6355D">
        <w:rPr>
          <w:rStyle w:val="ptext-"/>
        </w:rPr>
        <w:t>the items shall be produced. Instead, there is ample surrounding language that a good faith reading of the statute would result in the conclusion that Congress inte</w:t>
      </w:r>
      <w:r w:rsidR="00723A44" w:rsidRPr="00F6355D">
        <w:rPr>
          <w:rStyle w:val="ptext-"/>
        </w:rPr>
        <w:t xml:space="preserve">nded </w:t>
      </w:r>
      <w:r w:rsidR="0077090A">
        <w:rPr>
          <w:rStyle w:val="ptext-"/>
        </w:rPr>
        <w:t xml:space="preserve">the FBI to avail of </w:t>
      </w:r>
      <w:r w:rsidR="00723A44" w:rsidRPr="00F6355D">
        <w:rPr>
          <w:rStyle w:val="ptext-"/>
        </w:rPr>
        <w:t xml:space="preserve">the </w:t>
      </w:r>
      <w:r w:rsidR="00AC231C" w:rsidRPr="00F6355D">
        <w:rPr>
          <w:rStyle w:val="ptext-"/>
        </w:rPr>
        <w:t xml:space="preserve">allowances of Section 215. </w:t>
      </w:r>
    </w:p>
    <w:p w:rsidR="004F0667" w:rsidRPr="00F6355D" w:rsidRDefault="00837042" w:rsidP="00C3238D">
      <w:pPr>
        <w:spacing w:line="480" w:lineRule="auto"/>
        <w:jc w:val="both"/>
        <w:rPr>
          <w:rStyle w:val="ptext-"/>
        </w:rPr>
      </w:pPr>
      <w:r w:rsidRPr="00F6355D">
        <w:rPr>
          <w:rStyle w:val="ptext-"/>
        </w:rPr>
        <w:tab/>
        <w:t xml:space="preserve">Certainly, it does not appear that the statute allows for the NSA to </w:t>
      </w:r>
      <w:r w:rsidR="00E933E4">
        <w:rPr>
          <w:rStyle w:val="ptext-"/>
        </w:rPr>
        <w:t xml:space="preserve">obtain and retain the tangible things received as a </w:t>
      </w:r>
      <w:r w:rsidR="006E2958">
        <w:rPr>
          <w:rStyle w:val="ptext-"/>
        </w:rPr>
        <w:t xml:space="preserve">result </w:t>
      </w:r>
      <w:r w:rsidR="00E933E4">
        <w:rPr>
          <w:rStyle w:val="ptext-"/>
        </w:rPr>
        <w:t>of a production order to the extent that it currently does</w:t>
      </w:r>
      <w:r w:rsidRPr="00F6355D">
        <w:rPr>
          <w:rStyle w:val="ptext-"/>
        </w:rPr>
        <w:t xml:space="preserve">. </w:t>
      </w:r>
      <w:r w:rsidR="00E933E4">
        <w:rPr>
          <w:rStyle w:val="ptext-"/>
        </w:rPr>
        <w:t>This raises a reasonable question;</w:t>
      </w:r>
      <w:r w:rsidRPr="00F6355D">
        <w:rPr>
          <w:rStyle w:val="ptext-"/>
        </w:rPr>
        <w:t xml:space="preserve"> to what extent is the FBI</w:t>
      </w:r>
      <w:r w:rsidR="00880362" w:rsidRPr="00F6355D">
        <w:rPr>
          <w:rStyle w:val="ptext-"/>
        </w:rPr>
        <w:t xml:space="preserve"> </w:t>
      </w:r>
      <w:r w:rsidR="00CA5F6E">
        <w:rPr>
          <w:rStyle w:val="ptext-"/>
        </w:rPr>
        <w:t>legally permitted</w:t>
      </w:r>
      <w:r w:rsidR="00880362" w:rsidRPr="00F6355D">
        <w:rPr>
          <w:rStyle w:val="ptext-"/>
        </w:rPr>
        <w:t xml:space="preserve"> to outsource its signals intelligence work to other age</w:t>
      </w:r>
      <w:r w:rsidR="00E933E4">
        <w:rPr>
          <w:rStyle w:val="ptext-"/>
        </w:rPr>
        <w:t>ncies or government contractors?</w:t>
      </w:r>
      <w:r w:rsidR="0038518B">
        <w:rPr>
          <w:rStyle w:val="ptext-"/>
        </w:rPr>
        <w:t xml:space="preserve"> Indeed, the FBI should be permitted to benefit from the tec</w:t>
      </w:r>
      <w:r w:rsidR="00CA5F6E">
        <w:rPr>
          <w:rStyle w:val="ptext-"/>
        </w:rPr>
        <w:t>hnological expertise of the NSA. It is in the</w:t>
      </w:r>
      <w:r w:rsidR="00861B3F">
        <w:rPr>
          <w:rStyle w:val="ptext-"/>
        </w:rPr>
        <w:t xml:space="preserve"> interest </w:t>
      </w:r>
      <w:r w:rsidR="00CA5F6E">
        <w:rPr>
          <w:rStyle w:val="ptext-"/>
        </w:rPr>
        <w:t xml:space="preserve">of citizens and governments alike </w:t>
      </w:r>
      <w:r w:rsidR="00AA5CB3">
        <w:rPr>
          <w:rStyle w:val="ptext-"/>
        </w:rPr>
        <w:t xml:space="preserve">for </w:t>
      </w:r>
      <w:r w:rsidR="0038518B">
        <w:rPr>
          <w:rStyle w:val="ptext-"/>
        </w:rPr>
        <w:t>the inte</w:t>
      </w:r>
      <w:r w:rsidR="00861B3F">
        <w:rPr>
          <w:rStyle w:val="ptext-"/>
        </w:rPr>
        <w:t xml:space="preserve">lligence community </w:t>
      </w:r>
      <w:r w:rsidR="00AA5CB3">
        <w:rPr>
          <w:rStyle w:val="ptext-"/>
        </w:rPr>
        <w:t xml:space="preserve">to </w:t>
      </w:r>
      <w:r w:rsidR="00861B3F">
        <w:rPr>
          <w:rStyle w:val="ptext-"/>
        </w:rPr>
        <w:t>coordinate</w:t>
      </w:r>
      <w:r w:rsidR="0038518B">
        <w:rPr>
          <w:rStyle w:val="ptext-"/>
        </w:rPr>
        <w:t xml:space="preserve"> investigations across agencies. But they should do so by using clearly drawn </w:t>
      </w:r>
      <w:r w:rsidR="00AA5CB3">
        <w:rPr>
          <w:rStyle w:val="ptext-"/>
        </w:rPr>
        <w:t xml:space="preserve">legal </w:t>
      </w:r>
      <w:r w:rsidR="0038518B">
        <w:rPr>
          <w:rStyle w:val="ptext-"/>
        </w:rPr>
        <w:t>boundaries</w:t>
      </w:r>
      <w:r w:rsidR="00AA5CB3">
        <w:rPr>
          <w:rStyle w:val="ptext-"/>
        </w:rPr>
        <w:t>.</w:t>
      </w:r>
      <w:r w:rsidR="0097430E" w:rsidRPr="00F6355D">
        <w:rPr>
          <w:rStyle w:val="ptext-"/>
        </w:rPr>
        <w:t xml:space="preserve"> </w:t>
      </w:r>
      <w:r w:rsidR="00FA33EC" w:rsidRPr="00F6355D">
        <w:rPr>
          <w:rStyle w:val="ptext-"/>
        </w:rPr>
        <w:t>T</w:t>
      </w:r>
      <w:r w:rsidR="00AA5CB3">
        <w:rPr>
          <w:rStyle w:val="ptext-"/>
        </w:rPr>
        <w:t>here is a confounding</w:t>
      </w:r>
      <w:r w:rsidR="0097430E" w:rsidRPr="00F6355D">
        <w:rPr>
          <w:rStyle w:val="ptext-"/>
        </w:rPr>
        <w:t xml:space="preserve"> interplay between the </w:t>
      </w:r>
      <w:r w:rsidR="00867447" w:rsidRPr="00F6355D">
        <w:rPr>
          <w:rStyle w:val="ptext-"/>
        </w:rPr>
        <w:t xml:space="preserve">FBI, the </w:t>
      </w:r>
      <w:r w:rsidR="00FA33EC" w:rsidRPr="00F6355D">
        <w:rPr>
          <w:rStyle w:val="ptext-"/>
        </w:rPr>
        <w:t xml:space="preserve">NSA, and the FISC at issue here, which </w:t>
      </w:r>
      <w:r w:rsidR="00A25091">
        <w:rPr>
          <w:rStyle w:val="ptext-"/>
        </w:rPr>
        <w:t>raises greater</w:t>
      </w:r>
      <w:r w:rsidR="00FA33EC" w:rsidRPr="00F6355D">
        <w:rPr>
          <w:rStyle w:val="ptext-"/>
        </w:rPr>
        <w:t xml:space="preserve"> questions of </w:t>
      </w:r>
      <w:r w:rsidR="00A25091">
        <w:rPr>
          <w:rStyle w:val="ptext-"/>
        </w:rPr>
        <w:t xml:space="preserve">how </w:t>
      </w:r>
      <w:r w:rsidR="00FA33EC" w:rsidRPr="00F6355D">
        <w:rPr>
          <w:rStyle w:val="ptext-"/>
        </w:rPr>
        <w:t>governmental institutions in national security</w:t>
      </w:r>
      <w:r w:rsidR="00A25091">
        <w:rPr>
          <w:rStyle w:val="ptext-"/>
        </w:rPr>
        <w:t xml:space="preserve"> should interact with one another</w:t>
      </w:r>
      <w:r w:rsidR="00FA33EC" w:rsidRPr="00F6355D">
        <w:rPr>
          <w:rStyle w:val="ptext-"/>
        </w:rPr>
        <w:t xml:space="preserve">.  </w:t>
      </w:r>
    </w:p>
    <w:p w:rsidR="004F0667" w:rsidRPr="00F6355D" w:rsidRDefault="004F0667" w:rsidP="00C3238D">
      <w:pPr>
        <w:pStyle w:val="TOC40"/>
        <w:spacing w:line="480" w:lineRule="auto"/>
        <w:rPr>
          <w:rStyle w:val="ptext-"/>
          <w:i w:val="0"/>
        </w:rPr>
      </w:pPr>
      <w:r w:rsidRPr="00F6355D">
        <w:rPr>
          <w:rStyle w:val="ptext-"/>
        </w:rPr>
        <w:tab/>
        <w:t>(v) Electronic Communications Privacy Act</w:t>
      </w:r>
    </w:p>
    <w:p w:rsidR="00C605B2" w:rsidRPr="00F6355D" w:rsidRDefault="00EF0DE9" w:rsidP="00C3238D">
      <w:pPr>
        <w:spacing w:line="480" w:lineRule="auto"/>
        <w:jc w:val="both"/>
        <w:rPr>
          <w:rStyle w:val="ptext-"/>
          <w:i/>
        </w:rPr>
      </w:pPr>
      <w:r w:rsidRPr="00F6355D">
        <w:rPr>
          <w:rStyle w:val="ptext-"/>
        </w:rPr>
        <w:tab/>
        <w:t>Not only does</w:t>
      </w:r>
      <w:r w:rsidR="004F0667" w:rsidRPr="00F6355D">
        <w:rPr>
          <w:rStyle w:val="ptext-"/>
        </w:rPr>
        <w:t xml:space="preserve"> the Board find that the 215 Program is not grounded in </w:t>
      </w:r>
      <w:r w:rsidRPr="00F6355D">
        <w:rPr>
          <w:rStyle w:val="ptext-"/>
        </w:rPr>
        <w:t>FISA</w:t>
      </w:r>
      <w:r w:rsidR="004F0667" w:rsidRPr="00F6355D">
        <w:rPr>
          <w:rStyle w:val="ptext-"/>
        </w:rPr>
        <w:t xml:space="preserve">, but it also concludes the Program violates the Electronic Communications </w:t>
      </w:r>
      <w:r w:rsidR="001D6E2A" w:rsidRPr="00F6355D">
        <w:rPr>
          <w:rStyle w:val="ptext-"/>
        </w:rPr>
        <w:t xml:space="preserve">Privacy Act (ECPA). They write, </w:t>
      </w:r>
      <w:r w:rsidR="00C13ADC">
        <w:rPr>
          <w:rStyle w:val="ptext-"/>
        </w:rPr>
        <w:t xml:space="preserve">the </w:t>
      </w:r>
      <w:r w:rsidR="001D6E2A" w:rsidRPr="00F6355D">
        <w:rPr>
          <w:rStyle w:val="ptext-"/>
        </w:rPr>
        <w:t xml:space="preserve">“ECPA limits the circumstances under which a telephone company . . . may divulge records about its customers. Apart from certain enumerated exceptions, a provider ‘shall not knowingly divulge a </w:t>
      </w:r>
      <w:r w:rsidR="0054236F" w:rsidRPr="00F6355D">
        <w:rPr>
          <w:rStyle w:val="ptext-"/>
        </w:rPr>
        <w:t>recorded</w:t>
      </w:r>
      <w:r w:rsidR="001D6E2A" w:rsidRPr="00F6355D">
        <w:rPr>
          <w:rStyle w:val="ptext-"/>
        </w:rPr>
        <w:t xml:space="preserve"> or other information pertaining to a subscriber to or customer </w:t>
      </w:r>
      <w:r w:rsidR="00E650B0" w:rsidRPr="00F6355D">
        <w:rPr>
          <w:rStyle w:val="ptext-"/>
        </w:rPr>
        <w:t>of such service . . . to any governmental entity.’ These enumerated exceptions, among others, include situations in which the government secures a warrant, obtains a court order under ECPA, or utilizes a subpoena.”</w:t>
      </w:r>
      <w:r w:rsidR="00E650B0" w:rsidRPr="00F6355D">
        <w:rPr>
          <w:rStyle w:val="FootnoteReference"/>
        </w:rPr>
        <w:footnoteReference w:id="94"/>
      </w:r>
      <w:r w:rsidRPr="00F6355D">
        <w:rPr>
          <w:rStyle w:val="ptext-"/>
        </w:rPr>
        <w:t xml:space="preserve"> </w:t>
      </w:r>
      <w:r w:rsidR="00D350E7">
        <w:rPr>
          <w:rStyle w:val="ptext-"/>
        </w:rPr>
        <w:t xml:space="preserve">None of the exceptions, however, </w:t>
      </w:r>
      <w:r w:rsidR="007C5CF6" w:rsidRPr="00F6355D">
        <w:rPr>
          <w:rStyle w:val="ptext-"/>
        </w:rPr>
        <w:t xml:space="preserve">include orders issued under Section 215.  </w:t>
      </w:r>
    </w:p>
    <w:p w:rsidR="00360C50" w:rsidRPr="00F6355D" w:rsidRDefault="00C605B2" w:rsidP="00C3238D">
      <w:pPr>
        <w:spacing w:line="480" w:lineRule="auto"/>
        <w:jc w:val="both"/>
      </w:pPr>
      <w:r w:rsidRPr="00F6355D">
        <w:rPr>
          <w:rStyle w:val="ptext-"/>
        </w:rPr>
        <w:tab/>
        <w:t xml:space="preserve">FISC initially addressed the tensions between the ECPA and Section 215 in 2008 </w:t>
      </w:r>
      <w:r w:rsidR="00F5315B" w:rsidRPr="00F6355D">
        <w:rPr>
          <w:rStyle w:val="ptext-"/>
        </w:rPr>
        <w:t>and</w:t>
      </w:r>
      <w:r w:rsidRPr="00F6355D">
        <w:rPr>
          <w:rStyle w:val="ptext-"/>
        </w:rPr>
        <w:t xml:space="preserve"> ultimately concluded that because there is an exceptio</w:t>
      </w:r>
      <w:r w:rsidR="00F5315B" w:rsidRPr="00F6355D">
        <w:rPr>
          <w:rStyle w:val="ptext-"/>
        </w:rPr>
        <w:t xml:space="preserve">n for national security letters, it would be “anomalous” for Congress to exclude orders written under Section 215; thus the FISC </w:t>
      </w:r>
      <w:r w:rsidR="006F3047" w:rsidRPr="00F6355D">
        <w:rPr>
          <w:rStyle w:val="ptext-"/>
        </w:rPr>
        <w:t>inferred</w:t>
      </w:r>
      <w:r w:rsidR="00F5315B" w:rsidRPr="00F6355D">
        <w:rPr>
          <w:rStyle w:val="ptext-"/>
        </w:rPr>
        <w:t xml:space="preserve"> an implicit exception under the ECPA for 215 orders.</w:t>
      </w:r>
      <w:r w:rsidR="00F5315B" w:rsidRPr="00F6355D">
        <w:rPr>
          <w:rStyle w:val="FootnoteReference"/>
        </w:rPr>
        <w:footnoteReference w:id="95"/>
      </w:r>
      <w:r w:rsidR="006F3047" w:rsidRPr="00F6355D">
        <w:rPr>
          <w:rStyle w:val="ptext-"/>
        </w:rPr>
        <w:t xml:space="preserve"> </w:t>
      </w:r>
      <w:r w:rsidR="005D54EF" w:rsidRPr="00F6355D">
        <w:rPr>
          <w:rStyle w:val="ptext-"/>
        </w:rPr>
        <w:t xml:space="preserve"> Because of Section 215’s generality and the ECPA’s specificity, the Board </w:t>
      </w:r>
      <w:r w:rsidR="00253C1A" w:rsidRPr="00F6355D">
        <w:rPr>
          <w:rStyle w:val="ptext-"/>
        </w:rPr>
        <w:t xml:space="preserve">feels that the ECPA should be the ruling statute </w:t>
      </w:r>
      <w:r w:rsidR="005F07A6" w:rsidRPr="00F6355D">
        <w:rPr>
          <w:rStyle w:val="ptext-"/>
        </w:rPr>
        <w:t>in this case. Further evidencing their conclusion that Section 215 cannot be consid</w:t>
      </w:r>
      <w:r w:rsidR="00512022" w:rsidRPr="00F6355D">
        <w:rPr>
          <w:rStyle w:val="ptext-"/>
        </w:rPr>
        <w:t>ered the ruling statute</w:t>
      </w:r>
      <w:r w:rsidR="005F07A6" w:rsidRPr="00F6355D">
        <w:rPr>
          <w:rStyle w:val="ptext-"/>
        </w:rPr>
        <w:t>, the Board points to the legislative history surrounding the enactment of the PATRIOT Act</w:t>
      </w:r>
      <w:r w:rsidR="00512022" w:rsidRPr="00F6355D">
        <w:rPr>
          <w:rStyle w:val="ptext-"/>
        </w:rPr>
        <w:t xml:space="preserve">, which created Section 215 </w:t>
      </w:r>
      <w:r w:rsidR="00CD38B2">
        <w:rPr>
          <w:rStyle w:val="ptext-"/>
        </w:rPr>
        <w:t>but also</w:t>
      </w:r>
      <w:r w:rsidR="00512022" w:rsidRPr="00F6355D">
        <w:rPr>
          <w:rStyle w:val="ptext-"/>
        </w:rPr>
        <w:t xml:space="preserve"> amended the ECPA in ways that would allow </w:t>
      </w:r>
      <w:r w:rsidR="00CD38B2">
        <w:rPr>
          <w:rStyle w:val="ptext-"/>
        </w:rPr>
        <w:t>telecommunication companies</w:t>
      </w:r>
      <w:r w:rsidR="00512022" w:rsidRPr="00F6355D">
        <w:rPr>
          <w:rStyle w:val="ptext-"/>
        </w:rPr>
        <w:t xml:space="preserve"> to provide records to the</w:t>
      </w:r>
      <w:r w:rsidR="00211360" w:rsidRPr="00F6355D">
        <w:rPr>
          <w:rStyle w:val="ptext-"/>
        </w:rPr>
        <w:t xml:space="preserve"> g</w:t>
      </w:r>
      <w:r w:rsidR="00512022" w:rsidRPr="00F6355D">
        <w:rPr>
          <w:rStyle w:val="ptext-"/>
        </w:rPr>
        <w:t>overnment</w:t>
      </w:r>
      <w:r w:rsidR="00CD38B2">
        <w:rPr>
          <w:rStyle w:val="ptext-"/>
        </w:rPr>
        <w:t xml:space="preserve">. </w:t>
      </w:r>
      <w:r w:rsidR="00512022" w:rsidRPr="00F6355D">
        <w:rPr>
          <w:rStyle w:val="ptext-"/>
        </w:rPr>
        <w:t xml:space="preserve"> </w:t>
      </w:r>
      <w:r w:rsidR="00CD38B2">
        <w:rPr>
          <w:rStyle w:val="ptext-"/>
        </w:rPr>
        <w:t xml:space="preserve">This amendment to the ECPA did not include </w:t>
      </w:r>
      <w:r w:rsidR="000368BC">
        <w:rPr>
          <w:rStyle w:val="ptext-"/>
        </w:rPr>
        <w:t xml:space="preserve">a provision to allow the disclosure of calling records pursuant to a </w:t>
      </w:r>
      <w:r w:rsidR="00CD38B2">
        <w:rPr>
          <w:rStyle w:val="ptext-"/>
        </w:rPr>
        <w:t>FISC</w:t>
      </w:r>
      <w:r w:rsidR="00C37723">
        <w:rPr>
          <w:rStyle w:val="ptext-"/>
        </w:rPr>
        <w:t xml:space="preserve"> order</w:t>
      </w:r>
      <w:r w:rsidR="00211360" w:rsidRPr="00F6355D">
        <w:rPr>
          <w:rStyle w:val="ptext-"/>
        </w:rPr>
        <w:t>. The Board urges that this omission should be respected.</w:t>
      </w:r>
      <w:r w:rsidR="00211360" w:rsidRPr="00F6355D">
        <w:rPr>
          <w:rStyle w:val="FootnoteReference"/>
        </w:rPr>
        <w:footnoteReference w:id="96"/>
      </w:r>
    </w:p>
    <w:p w:rsidR="00CA18FB" w:rsidRDefault="00CA18FB" w:rsidP="004004A3">
      <w:pPr>
        <w:pStyle w:val="TOC1"/>
      </w:pPr>
      <w:r>
        <w:t>Conclusion</w:t>
      </w:r>
    </w:p>
    <w:p w:rsidR="004004A3" w:rsidRPr="00CA18FB" w:rsidRDefault="00CA18FB" w:rsidP="0004166F">
      <w:pPr>
        <w:spacing w:line="480" w:lineRule="auto"/>
        <w:jc w:val="both"/>
      </w:pPr>
      <w:r>
        <w:tab/>
      </w:r>
      <w:r w:rsidR="0004166F">
        <w:t>To paraphrase PCLOB member Rachel Brand</w:t>
      </w:r>
      <w:r w:rsidR="00C37723">
        <w:t>,</w:t>
      </w:r>
      <w:r w:rsidR="0004166F">
        <w:t xml:space="preserve"> reasonable people will disagree. The issue of government surveillance, terrorism, and national security is not straightforward and </w:t>
      </w:r>
      <w:r w:rsidR="00430458">
        <w:t>juggling</w:t>
      </w:r>
      <w:r w:rsidR="0004166F">
        <w:t xml:space="preserve"> the myriad pieces in </w:t>
      </w:r>
      <w:r w:rsidR="00430458">
        <w:t>our effort to ensure</w:t>
      </w:r>
      <w:r w:rsidR="0004166F">
        <w:t xml:space="preserve"> security </w:t>
      </w:r>
      <w:r w:rsidR="00430458">
        <w:t>is incredibly difficult</w:t>
      </w:r>
      <w:r w:rsidR="0004166F">
        <w:t xml:space="preserve">. </w:t>
      </w:r>
      <w:r w:rsidR="007878D3">
        <w:t>W</w:t>
      </w:r>
      <w:r w:rsidR="00C37723">
        <w:t xml:space="preserve">hatever reasons </w:t>
      </w:r>
      <w:r w:rsidR="007878D3">
        <w:t>may</w:t>
      </w:r>
      <w:r w:rsidR="00C37723">
        <w:t xml:space="preserve"> account for the catastrophic </w:t>
      </w:r>
      <w:r w:rsidR="007878D3">
        <w:t>intelligence</w:t>
      </w:r>
      <w:r w:rsidR="00C37723">
        <w:t xml:space="preserve"> failure of </w:t>
      </w:r>
      <w:r w:rsidR="00076368">
        <w:t>9/11</w:t>
      </w:r>
      <w:r w:rsidR="007878D3">
        <w:t>, we as a nation cannot compromise the very fundamental tenets upon which this nation was built.</w:t>
      </w:r>
      <w:r w:rsidR="00076368">
        <w:t xml:space="preserve"> </w:t>
      </w:r>
      <w:r w:rsidR="007878D3">
        <w:t>We have entered</w:t>
      </w:r>
      <w:r w:rsidR="00076368">
        <w:t xml:space="preserve"> a new phase in history and </w:t>
      </w:r>
      <w:r w:rsidR="001A0B53">
        <w:t xml:space="preserve">warfare. Our enemy is elusive and our intelligence capabilities limitless. The coming decades will test </w:t>
      </w:r>
      <w:r w:rsidR="00AE0685">
        <w:t>our intelligence officers, citizens, and legislators alike as we attempt to find both security and privacy.</w:t>
      </w:r>
    </w:p>
    <w:p w:rsidR="00CE4B05" w:rsidRDefault="00CE4B05" w:rsidP="004004A3">
      <w:pPr>
        <w:pStyle w:val="TOC1"/>
      </w:pPr>
    </w:p>
    <w:p w:rsidR="00CE4B05" w:rsidRDefault="00CE4B05" w:rsidP="004004A3">
      <w:pPr>
        <w:pStyle w:val="TOC1"/>
      </w:pPr>
    </w:p>
    <w:p w:rsidR="00CE4B05" w:rsidRDefault="00CE4B05" w:rsidP="004004A3">
      <w:pPr>
        <w:pStyle w:val="TOC1"/>
      </w:pPr>
    </w:p>
    <w:p w:rsidR="00AE0685" w:rsidRDefault="00AE0685" w:rsidP="004004A3">
      <w:pPr>
        <w:pStyle w:val="TOC1"/>
      </w:pPr>
    </w:p>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AE0685" w:rsidRDefault="00AE0685" w:rsidP="00AE0685"/>
    <w:p w:rsidR="00C362F1" w:rsidRPr="00F6355D" w:rsidRDefault="00C362F1" w:rsidP="00C3238D">
      <w:pPr>
        <w:spacing w:line="480" w:lineRule="auto"/>
        <w:ind w:firstLine="720"/>
        <w:jc w:val="both"/>
      </w:pPr>
    </w:p>
    <w:sectPr w:rsidR="00C362F1" w:rsidRPr="00F6355D" w:rsidSect="004F40C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7686">
      <w:pPr>
        <w:spacing w:after="0"/>
      </w:pPr>
      <w:r>
        <w:separator/>
      </w:r>
    </w:p>
  </w:endnote>
  <w:endnote w:type="continuationSeparator" w:id="0">
    <w:p w:rsidR="00000000" w:rsidRDefault="005A76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01" w:rsidRDefault="00965171" w:rsidP="004F40C8">
    <w:pPr>
      <w:pStyle w:val="Footer"/>
      <w:framePr w:wrap="around" w:vAnchor="text" w:hAnchor="margin" w:xAlign="right" w:y="1"/>
      <w:rPr>
        <w:rStyle w:val="PageNumber"/>
      </w:rPr>
    </w:pPr>
    <w:r>
      <w:rPr>
        <w:rStyle w:val="PageNumber"/>
      </w:rPr>
      <w:fldChar w:fldCharType="begin"/>
    </w:r>
    <w:r w:rsidR="00D97301">
      <w:rPr>
        <w:rStyle w:val="PageNumber"/>
      </w:rPr>
      <w:instrText xml:space="preserve">PAGE  </w:instrText>
    </w:r>
    <w:r>
      <w:rPr>
        <w:rStyle w:val="PageNumber"/>
      </w:rPr>
      <w:fldChar w:fldCharType="end"/>
    </w:r>
  </w:p>
  <w:p w:rsidR="00D97301" w:rsidRDefault="00D97301" w:rsidP="00863E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01" w:rsidRDefault="00965171" w:rsidP="004F40C8">
    <w:pPr>
      <w:pStyle w:val="Footer"/>
      <w:framePr w:wrap="around" w:vAnchor="text" w:hAnchor="margin" w:xAlign="right" w:y="1"/>
      <w:rPr>
        <w:rStyle w:val="PageNumber"/>
      </w:rPr>
    </w:pPr>
    <w:r>
      <w:rPr>
        <w:rStyle w:val="PageNumber"/>
      </w:rPr>
      <w:fldChar w:fldCharType="begin"/>
    </w:r>
    <w:r w:rsidR="00D97301">
      <w:rPr>
        <w:rStyle w:val="PageNumber"/>
      </w:rPr>
      <w:instrText xml:space="preserve">PAGE  </w:instrText>
    </w:r>
    <w:r>
      <w:rPr>
        <w:rStyle w:val="PageNumber"/>
      </w:rPr>
      <w:fldChar w:fldCharType="separate"/>
    </w:r>
    <w:r w:rsidR="005A7686">
      <w:rPr>
        <w:rStyle w:val="PageNumber"/>
        <w:noProof/>
      </w:rPr>
      <w:t>32</w:t>
    </w:r>
    <w:r>
      <w:rPr>
        <w:rStyle w:val="PageNumber"/>
      </w:rPr>
      <w:fldChar w:fldCharType="end"/>
    </w:r>
  </w:p>
  <w:p w:rsidR="00D97301" w:rsidRDefault="00D97301" w:rsidP="00863E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7686">
      <w:pPr>
        <w:spacing w:after="0"/>
      </w:pPr>
      <w:r>
        <w:separator/>
      </w:r>
    </w:p>
  </w:footnote>
  <w:footnote w:type="continuationSeparator" w:id="0">
    <w:p w:rsidR="00000000" w:rsidRDefault="005A7686">
      <w:pPr>
        <w:spacing w:after="0"/>
      </w:pPr>
      <w:r>
        <w:continuationSeparator/>
      </w:r>
    </w:p>
  </w:footnote>
  <w:footnote w:id="1">
    <w:p w:rsidR="00D97301" w:rsidRPr="0036385B" w:rsidRDefault="00D97301" w:rsidP="00FD3A6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&amp; Order at 45, </w:t>
      </w:r>
      <w:r w:rsidRPr="00A67271">
        <w:rPr>
          <w:rFonts w:ascii="Times New Roman" w:hAnsi="Times New Roman"/>
          <w:i/>
        </w:rPr>
        <w:t>ACLU v. Clapper</w:t>
      </w:r>
      <w:r>
        <w:rPr>
          <w:rFonts w:ascii="Times New Roman" w:hAnsi="Times New Roman"/>
        </w:rPr>
        <w:t>, No. 13-3994 (S.D.N.Y. Dec. 27, 2013)</w:t>
      </w:r>
    </w:p>
  </w:footnote>
  <w:footnote w:id="2">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The Supreme Court held in </w:t>
      </w:r>
      <w:r w:rsidRPr="00C6109B">
        <w:rPr>
          <w:rFonts w:ascii="Times New Roman" w:hAnsi="Times New Roman"/>
          <w:i/>
        </w:rPr>
        <w:t xml:space="preserve">Amnesty </w:t>
      </w:r>
      <w:r w:rsidRPr="00C6109B">
        <w:rPr>
          <w:rFonts w:ascii="Times New Roman" w:hAnsi="Times New Roman"/>
        </w:rPr>
        <w:t xml:space="preserve">that attorneys and advocacy groups could not challenge the FISA Amendment Act in court because they could not show that they were subject to surveillance. This case predates the </w:t>
      </w:r>
      <w:r>
        <w:rPr>
          <w:rFonts w:ascii="Times New Roman" w:hAnsi="Times New Roman"/>
        </w:rPr>
        <w:t>unauthorized</w:t>
      </w:r>
      <w:r w:rsidRPr="00C6109B">
        <w:rPr>
          <w:rFonts w:ascii="Times New Roman" w:hAnsi="Times New Roman"/>
        </w:rPr>
        <w:t xml:space="preserve"> disclosures</w:t>
      </w:r>
      <w:r>
        <w:rPr>
          <w:rFonts w:ascii="Times New Roman" w:hAnsi="Times New Roman"/>
        </w:rPr>
        <w:t xml:space="preserve"> of June 2013. A</w:t>
      </w:r>
      <w:r w:rsidRPr="00C6109B">
        <w:rPr>
          <w:rFonts w:ascii="Times New Roman" w:hAnsi="Times New Roman"/>
        </w:rPr>
        <w:t>s such there was no evidence of surveillance</w:t>
      </w:r>
      <w:r>
        <w:rPr>
          <w:rFonts w:ascii="Times New Roman" w:hAnsi="Times New Roman"/>
        </w:rPr>
        <w:t xml:space="preserve"> at that time</w:t>
      </w:r>
      <w:r w:rsidRPr="00C6109B">
        <w:rPr>
          <w:rFonts w:ascii="Times New Roman" w:hAnsi="Times New Roman"/>
        </w:rPr>
        <w:t>.</w:t>
      </w:r>
    </w:p>
  </w:footnote>
  <w:footnote w:id="3">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&amp; Order at 46, </w:t>
      </w:r>
      <w:r w:rsidRPr="00A67271">
        <w:rPr>
          <w:rFonts w:ascii="Times New Roman" w:hAnsi="Times New Roman"/>
          <w:i/>
        </w:rPr>
        <w:t>ACLU v. Clapper</w:t>
      </w:r>
      <w:r>
        <w:rPr>
          <w:rFonts w:ascii="Times New Roman" w:hAnsi="Times New Roman"/>
        </w:rPr>
        <w:t xml:space="preserve">, No. 13-3994 (S.D.N.Y. Dec. 27, 2013), in citing </w:t>
      </w:r>
      <w:r w:rsidRPr="004F20B1">
        <w:rPr>
          <w:i/>
        </w:rPr>
        <w:t>Tabbaa v. Chertoff</w:t>
      </w:r>
      <w:r w:rsidRPr="004F20B1">
        <w:t xml:space="preserve"> 509 F.3d at 101</w:t>
      </w:r>
    </w:p>
  </w:footnote>
  <w:footnote w:id="4">
    <w:p w:rsidR="00D97301" w:rsidRDefault="00D97301">
      <w:pPr>
        <w:pStyle w:val="FootnoteText"/>
      </w:pPr>
      <w:r>
        <w:rPr>
          <w:rStyle w:val="FootnoteReference"/>
        </w:rPr>
        <w:footnoteRef/>
      </w:r>
      <w:r>
        <w:t xml:space="preserve"> </w:t>
      </w:r>
      <w:r>
        <w:rPr>
          <w:rFonts w:ascii="Times New Roman" w:hAnsi="Times New Roman"/>
        </w:rPr>
        <w:t xml:space="preserve">Memorandum &amp; Order at 46, </w:t>
      </w:r>
      <w:r w:rsidRPr="00A67271">
        <w:rPr>
          <w:rFonts w:ascii="Times New Roman" w:hAnsi="Times New Roman"/>
          <w:i/>
        </w:rPr>
        <w:t>ACLU v. Clapper</w:t>
      </w:r>
      <w:r>
        <w:rPr>
          <w:rFonts w:ascii="Times New Roman" w:hAnsi="Times New Roman"/>
        </w:rPr>
        <w:t>, No. 13-3994 (S.D.N.Y. Dec. 27, 2013)</w:t>
      </w:r>
    </w:p>
  </w:footnote>
  <w:footnote w:id="5">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sidRPr="00037BBF">
        <w:rPr>
          <w:rFonts w:ascii="Times New Roman" w:hAnsi="Times New Roman"/>
          <w:i/>
        </w:rPr>
        <w:t>Klayman v. Obama</w:t>
      </w:r>
      <w:r w:rsidRPr="00C6109B">
        <w:rPr>
          <w:rFonts w:ascii="Times New Roman" w:hAnsi="Times New Roman"/>
        </w:rPr>
        <w:t xml:space="preserve">, </w:t>
      </w:r>
      <w:r>
        <w:rPr>
          <w:rFonts w:ascii="Times New Roman" w:hAnsi="Times New Roman"/>
        </w:rPr>
        <w:t xml:space="preserve">No. 13-0851, </w:t>
      </w:r>
      <w:r w:rsidRPr="00C6109B">
        <w:rPr>
          <w:rFonts w:ascii="Times New Roman" w:hAnsi="Times New Roman"/>
        </w:rPr>
        <w:t xml:space="preserve">Plaintiffs’ Reply in Support of Their Motions for Preliminary Injunction, </w:t>
      </w:r>
      <w:r>
        <w:rPr>
          <w:rFonts w:ascii="Times New Roman" w:hAnsi="Times New Roman"/>
        </w:rPr>
        <w:t>at</w:t>
      </w:r>
      <w:r w:rsidRPr="00C6109B">
        <w:rPr>
          <w:rFonts w:ascii="Times New Roman" w:hAnsi="Times New Roman"/>
        </w:rPr>
        <w:t xml:space="preserve"> 17.  Retrieved at http://www.freedomwatchusa.org/pdf/131125-Reply%20Brief.pdf</w:t>
      </w:r>
    </w:p>
  </w:footnote>
  <w:footnote w:id="6">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PCLOB, </w:t>
      </w:r>
      <w:r w:rsidRPr="00C6109B">
        <w:rPr>
          <w:rFonts w:ascii="Times New Roman" w:hAnsi="Times New Roman"/>
          <w:i/>
        </w:rPr>
        <w:t xml:space="preserve">Report on the Telephone Records Program Conducted under Section 215 of the USA PATRIOT Act and on the Operations of the Foreign Intelligence Surveillance Court, </w:t>
      </w:r>
      <w:r>
        <w:rPr>
          <w:rFonts w:ascii="Times New Roman" w:hAnsi="Times New Roman"/>
        </w:rPr>
        <w:t>23 Jan. 2014, at 134</w:t>
      </w:r>
      <w:r w:rsidRPr="00C6109B">
        <w:rPr>
          <w:rFonts w:ascii="Times New Roman" w:hAnsi="Times New Roman"/>
        </w:rPr>
        <w:t xml:space="preserve">. </w:t>
      </w:r>
      <w:r>
        <w:rPr>
          <w:rFonts w:ascii="Times New Roman" w:hAnsi="Times New Roman"/>
        </w:rPr>
        <w:t xml:space="preserve">Hereafter cited as “PCLOB Report”. </w:t>
      </w:r>
      <w:r w:rsidRPr="00C6109B">
        <w:rPr>
          <w:rFonts w:ascii="Times New Roman" w:hAnsi="Times New Roman"/>
        </w:rPr>
        <w:t xml:space="preserve">Retrieved </w:t>
      </w:r>
      <w:r>
        <w:rPr>
          <w:rFonts w:ascii="Times New Roman" w:hAnsi="Times New Roman"/>
        </w:rPr>
        <w:t>at:</w:t>
      </w:r>
      <w:r w:rsidRPr="00C6109B">
        <w:rPr>
          <w:rFonts w:ascii="Times New Roman" w:hAnsi="Times New Roman"/>
        </w:rPr>
        <w:t xml:space="preserve"> </w:t>
      </w:r>
      <w:hyperlink r:id="rId1" w:history="1">
        <w:r w:rsidRPr="00C6109B">
          <w:rPr>
            <w:rStyle w:val="Hyperlink"/>
            <w:rFonts w:ascii="Times New Roman" w:hAnsi="Times New Roman"/>
          </w:rPr>
          <w:t>http://www.pclob.gov/SiteAssets/Pages/default/PCLOB-Report-on-the-Telephone-Records-Program.pdf</w:t>
        </w:r>
      </w:hyperlink>
    </w:p>
  </w:footnote>
  <w:footnote w:id="7">
    <w:p w:rsidR="00D97301" w:rsidRDefault="00D97301">
      <w:pPr>
        <w:pStyle w:val="FootnoteText"/>
      </w:pPr>
      <w:r>
        <w:rPr>
          <w:rStyle w:val="FootnoteReference"/>
        </w:rPr>
        <w:footnoteRef/>
      </w:r>
      <w:r>
        <w:t xml:space="preserve"> </w:t>
      </w:r>
      <w:r w:rsidRPr="004F731A">
        <w:rPr>
          <w:i/>
        </w:rPr>
        <w:t>Id.</w:t>
      </w:r>
      <w:r>
        <w:t>, at 135</w:t>
      </w:r>
    </w:p>
  </w:footnote>
  <w:footnote w:id="8">
    <w:p w:rsidR="00D97301" w:rsidRDefault="00D97301">
      <w:pPr>
        <w:pStyle w:val="FootnoteText"/>
      </w:pPr>
      <w:r>
        <w:rPr>
          <w:rStyle w:val="FootnoteReference"/>
        </w:rPr>
        <w:footnoteRef/>
      </w:r>
      <w:r>
        <w:t xml:space="preserve"> </w:t>
      </w:r>
      <w:r w:rsidRPr="004F731A">
        <w:rPr>
          <w:i/>
        </w:rPr>
        <w:t>Id.</w:t>
      </w:r>
      <w:r>
        <w:t>, at 135</w:t>
      </w:r>
    </w:p>
  </w:footnote>
  <w:footnote w:id="9">
    <w:p w:rsidR="00D97301" w:rsidRDefault="00D97301">
      <w:pPr>
        <w:pStyle w:val="FootnoteText"/>
      </w:pPr>
      <w:r>
        <w:rPr>
          <w:rStyle w:val="FootnoteReference"/>
        </w:rPr>
        <w:footnoteRef/>
      </w:r>
      <w:r>
        <w:t xml:space="preserve"> PCLOB Report, at 135</w:t>
      </w:r>
    </w:p>
  </w:footnote>
  <w:footnote w:id="10">
    <w:p w:rsidR="00D97301" w:rsidRDefault="00D97301">
      <w:pPr>
        <w:pStyle w:val="FootnoteText"/>
      </w:pPr>
      <w:r>
        <w:rPr>
          <w:rStyle w:val="FootnoteReference"/>
        </w:rPr>
        <w:footnoteRef/>
      </w:r>
      <w:r>
        <w:t xml:space="preserve"> </w:t>
      </w:r>
      <w:r w:rsidRPr="004F731A">
        <w:rPr>
          <w:i/>
        </w:rPr>
        <w:t>Id.</w:t>
      </w:r>
      <w:r>
        <w:t>, at 135</w:t>
      </w:r>
    </w:p>
  </w:footnote>
  <w:footnote w:id="11">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U.S. Const. amend.IV.</w:t>
      </w:r>
    </w:p>
  </w:footnote>
  <w:footnote w:id="12">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&amp; Order at 38-39, </w:t>
      </w:r>
      <w:r w:rsidRPr="00A67271">
        <w:rPr>
          <w:rFonts w:ascii="Times New Roman" w:hAnsi="Times New Roman"/>
          <w:i/>
        </w:rPr>
        <w:t>ACLU v. Clapper</w:t>
      </w:r>
      <w:r>
        <w:rPr>
          <w:rFonts w:ascii="Times New Roman" w:hAnsi="Times New Roman"/>
        </w:rPr>
        <w:t>, No. 13-3994 (S.D.N.Y. Dec. 27, 2013)</w:t>
      </w:r>
    </w:p>
  </w:footnote>
  <w:footnote w:id="13">
    <w:p w:rsidR="00D97301" w:rsidRPr="0036385B" w:rsidRDefault="00D97301" w:rsidP="003101DE">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Memorandum &amp; Order at</w:t>
      </w:r>
      <w:r w:rsidRPr="00C6109B">
        <w:rPr>
          <w:rFonts w:ascii="Times New Roman" w:hAnsi="Times New Roman"/>
        </w:rPr>
        <w:t xml:space="preserve"> 42</w:t>
      </w:r>
      <w:r>
        <w:rPr>
          <w:rFonts w:ascii="Times New Roman" w:hAnsi="Times New Roman"/>
        </w:rPr>
        <w:t xml:space="preserve">, </w:t>
      </w:r>
      <w:r w:rsidRPr="00A67271">
        <w:rPr>
          <w:rFonts w:ascii="Times New Roman" w:hAnsi="Times New Roman"/>
          <w:i/>
        </w:rPr>
        <w:t>ACLU v. Clapper</w:t>
      </w:r>
      <w:r>
        <w:rPr>
          <w:rFonts w:ascii="Times New Roman" w:hAnsi="Times New Roman"/>
        </w:rPr>
        <w:t>, No. 13-3994 (S.D.N.Y. Dec. 27, 2013)</w:t>
      </w:r>
    </w:p>
  </w:footnote>
  <w:footnote w:id="14">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&amp; Order at 43-44, </w:t>
      </w:r>
      <w:r w:rsidRPr="00A67271">
        <w:rPr>
          <w:rFonts w:ascii="Times New Roman" w:hAnsi="Times New Roman"/>
          <w:i/>
        </w:rPr>
        <w:t>ACLU v. Clapper</w:t>
      </w:r>
      <w:r>
        <w:rPr>
          <w:rFonts w:ascii="Times New Roman" w:hAnsi="Times New Roman"/>
        </w:rPr>
        <w:t>, No. 13-3994 (S.D.N.Y. Dec. 27, 2013)</w:t>
      </w:r>
    </w:p>
  </w:footnote>
  <w:footnote w:id="15">
    <w:p w:rsidR="00D97301" w:rsidRDefault="00D97301">
      <w:pPr>
        <w:pStyle w:val="FootnoteText"/>
      </w:pPr>
      <w:r w:rsidRPr="00EC5D66">
        <w:rPr>
          <w:rStyle w:val="FootnoteReference"/>
        </w:rPr>
        <w:footnoteRef/>
      </w:r>
      <w:r w:rsidRPr="00EC5D66">
        <w:t xml:space="preserve"> FISC court opinion, Eagan, C. </w:t>
      </w:r>
      <w:r>
        <w:t>at</w:t>
      </w:r>
      <w:r w:rsidRPr="00EC5D66">
        <w:t>, 7-8; Docket number 13-109</w:t>
      </w:r>
      <w:r>
        <w:t xml:space="preserve"> </w:t>
      </w:r>
    </w:p>
  </w:footnote>
  <w:footnote w:id="16">
    <w:p w:rsidR="00D97301" w:rsidRDefault="00D97301">
      <w:pPr>
        <w:pStyle w:val="FootnoteText"/>
      </w:pPr>
      <w:r>
        <w:rPr>
          <w:rStyle w:val="FootnoteReference"/>
        </w:rPr>
        <w:footnoteRef/>
      </w:r>
      <w:r>
        <w:t xml:space="preserve"> Obama Administration White Paper, at 19; 13 Aug. 2013. Hereafter cited as “Obama Administration White Paper”. Retrieved from </w:t>
      </w:r>
      <w:hyperlink r:id="rId2" w:history="1">
        <w:r w:rsidRPr="00F24EF0">
          <w:rPr>
            <w:rStyle w:val="Hyperlink"/>
          </w:rPr>
          <w:t>https://www.aclu.org/files/natsec/nsa/20130816/Section%20215%20-%20Obama%20Administration%20White%20Paper.pdf</w:t>
        </w:r>
      </w:hyperlink>
      <w:r>
        <w:t xml:space="preserve"> </w:t>
      </w:r>
    </w:p>
  </w:footnote>
  <w:footnote w:id="17">
    <w:p w:rsidR="00D97301" w:rsidRDefault="00D97301">
      <w:pPr>
        <w:pStyle w:val="FootnoteText"/>
      </w:pPr>
      <w:r>
        <w:rPr>
          <w:rStyle w:val="FootnoteReference"/>
        </w:rPr>
        <w:footnoteRef/>
      </w:r>
      <w:r>
        <w:t xml:space="preserve"> </w:t>
      </w:r>
      <w:r w:rsidRPr="004F731A">
        <w:rPr>
          <w:i/>
        </w:rPr>
        <w:t>Id.</w:t>
      </w:r>
      <w:r>
        <w:t>, at 20</w:t>
      </w:r>
    </w:p>
  </w:footnote>
  <w:footnote w:id="18">
    <w:p w:rsidR="00D97301" w:rsidRDefault="00D97301">
      <w:pPr>
        <w:pStyle w:val="FootnoteText"/>
      </w:pPr>
      <w:r>
        <w:rPr>
          <w:rStyle w:val="FootnoteReference"/>
        </w:rPr>
        <w:footnoteRef/>
      </w:r>
      <w:r>
        <w:t xml:space="preserve"> PCLPB Report, at 37</w:t>
      </w:r>
    </w:p>
  </w:footnote>
  <w:footnote w:id="19">
    <w:p w:rsidR="00D97301" w:rsidRDefault="00D97301">
      <w:pPr>
        <w:pStyle w:val="FootnoteText"/>
      </w:pPr>
      <w:r>
        <w:rPr>
          <w:rStyle w:val="FootnoteReference"/>
        </w:rPr>
        <w:footnoteRef/>
      </w:r>
      <w:r>
        <w:t xml:space="preserve"> Obama Administration White Paper, at 21; in citing </w:t>
      </w:r>
      <w:r w:rsidRPr="002E39CE">
        <w:rPr>
          <w:i/>
        </w:rPr>
        <w:t>Maryland v. King</w:t>
      </w:r>
      <w:r>
        <w:t>, 133 S. Ct. 1958, 1970 (2013)</w:t>
      </w:r>
    </w:p>
  </w:footnote>
  <w:footnote w:id="20">
    <w:p w:rsidR="00D97301" w:rsidRDefault="00D97301">
      <w:pPr>
        <w:pStyle w:val="FootnoteText"/>
      </w:pPr>
      <w:r>
        <w:rPr>
          <w:rStyle w:val="FootnoteReference"/>
        </w:rPr>
        <w:footnoteRef/>
      </w:r>
      <w:r>
        <w:t xml:space="preserve"> </w:t>
      </w:r>
      <w:r w:rsidRPr="004F731A">
        <w:rPr>
          <w:i/>
        </w:rPr>
        <w:t>Id.</w:t>
      </w:r>
      <w:r>
        <w:t>, at 21</w:t>
      </w:r>
    </w:p>
  </w:footnote>
  <w:footnote w:id="21">
    <w:p w:rsidR="00D97301" w:rsidRDefault="00D97301">
      <w:pPr>
        <w:pStyle w:val="FootnoteText"/>
      </w:pPr>
      <w:r>
        <w:rPr>
          <w:rStyle w:val="FootnoteReference"/>
        </w:rPr>
        <w:footnoteRef/>
      </w:r>
      <w:r>
        <w:t xml:space="preserve"> </w:t>
      </w:r>
      <w:r w:rsidRPr="004F731A">
        <w:rPr>
          <w:i/>
        </w:rPr>
        <w:t>Id.</w:t>
      </w:r>
      <w:r>
        <w:t>, at 21</w:t>
      </w:r>
    </w:p>
  </w:footnote>
  <w:footnote w:id="22">
    <w:p w:rsidR="00D97301" w:rsidRDefault="00D97301">
      <w:pPr>
        <w:pStyle w:val="FootnoteText"/>
      </w:pPr>
      <w:r>
        <w:rPr>
          <w:rStyle w:val="FootnoteReference"/>
        </w:rPr>
        <w:footnoteRef/>
      </w:r>
      <w:r>
        <w:t xml:space="preserve"> </w:t>
      </w:r>
      <w:r w:rsidRPr="004F731A">
        <w:rPr>
          <w:i/>
        </w:rPr>
        <w:t>Id.</w:t>
      </w:r>
      <w:r>
        <w:t>, at 21</w:t>
      </w:r>
    </w:p>
  </w:footnote>
  <w:footnote w:id="23">
    <w:p w:rsidR="00D97301" w:rsidRDefault="00D97301">
      <w:pPr>
        <w:pStyle w:val="FootnoteText"/>
      </w:pPr>
      <w:r>
        <w:rPr>
          <w:rStyle w:val="FootnoteReference"/>
        </w:rPr>
        <w:footnoteRef/>
      </w:r>
      <w:r>
        <w:t xml:space="preserve"> See e.g. PCLOB Report, beginning at144; “Liberty and Security in a Changing World: Report and Recommendations of The President’s Review Group on Intelligence and Communications Technologies” 12 Dec. 2013, at 104. Retrieved from </w:t>
      </w:r>
      <w:hyperlink r:id="rId3" w:history="1">
        <w:r w:rsidRPr="00F24EF0">
          <w:rPr>
            <w:rStyle w:val="Hyperlink"/>
          </w:rPr>
          <w:t>http://www.whitehouse.gov/sites/default/files/docs/2013-12-12_rg_final_report.pdf</w:t>
        </w:r>
      </w:hyperlink>
      <w:r>
        <w:t xml:space="preserve"> </w:t>
      </w:r>
    </w:p>
  </w:footnote>
  <w:footnote w:id="24">
    <w:p w:rsidR="00D97301" w:rsidRDefault="00D97301">
      <w:pPr>
        <w:pStyle w:val="FootnoteText"/>
      </w:pPr>
      <w:r>
        <w:rPr>
          <w:rStyle w:val="FootnoteReference"/>
        </w:rPr>
        <w:footnoteRef/>
      </w:r>
      <w:r>
        <w:t xml:space="preserve"> See </w:t>
      </w:r>
      <w:hyperlink r:id="rId4" w:history="1">
        <w:r w:rsidRPr="00AC6806">
          <w:rPr>
            <w:rStyle w:val="Hyperlink"/>
          </w:rPr>
          <w:t>http://www.washingtonpost.com/world/national-security/bipartisan-house-bill-would-end-nsas-bulk-collection-of-americans-phone-data/2014/03/24/f8fac99a-b391-11e3-8020-b2d790b3c9e1_story.html</w:t>
        </w:r>
      </w:hyperlink>
      <w:r>
        <w:t xml:space="preserve"> and </w:t>
      </w:r>
      <w:hyperlink r:id="rId5" w:history="1">
        <w:r w:rsidRPr="00AC6806">
          <w:rPr>
            <w:rStyle w:val="Hyperlink"/>
          </w:rPr>
          <w:t>http://www.nytimes.com/2014/03/25/us/obama-to-seek-nsa-curb-on-call-data.html</w:t>
        </w:r>
      </w:hyperlink>
      <w:r>
        <w:t xml:space="preserve"> </w:t>
      </w:r>
    </w:p>
  </w:footnote>
  <w:footnote w:id="25">
    <w:p w:rsidR="00D97301" w:rsidRPr="0036385B" w:rsidRDefault="00D97301" w:rsidP="00CD39A6">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Opinion at 47-49, </w:t>
      </w:r>
      <w:r w:rsidRPr="00037BBF">
        <w:rPr>
          <w:rFonts w:ascii="Times New Roman" w:hAnsi="Times New Roman"/>
          <w:i/>
        </w:rPr>
        <w:t>Klayman v. Obama</w:t>
      </w:r>
      <w:r w:rsidRPr="00C6109B">
        <w:rPr>
          <w:rFonts w:ascii="Times New Roman" w:hAnsi="Times New Roman"/>
        </w:rPr>
        <w:t xml:space="preserve">, </w:t>
      </w:r>
      <w:r>
        <w:rPr>
          <w:rFonts w:ascii="Times New Roman" w:hAnsi="Times New Roman"/>
        </w:rPr>
        <w:t>No. 13-0851 (D.D.C. Dec. 16, 2013)</w:t>
      </w:r>
    </w:p>
  </w:footnote>
  <w:footnote w:id="26">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sidRPr="004F731A">
        <w:rPr>
          <w:i/>
        </w:rPr>
        <w:t>Id.</w:t>
      </w:r>
      <w:r>
        <w:rPr>
          <w:i/>
        </w:rPr>
        <w:t xml:space="preserve"> </w:t>
      </w:r>
      <w:r>
        <w:rPr>
          <w:rFonts w:ascii="Times New Roman" w:hAnsi="Times New Roman"/>
        </w:rPr>
        <w:t xml:space="preserve">at </w:t>
      </w:r>
      <w:r w:rsidRPr="00C6109B">
        <w:rPr>
          <w:rFonts w:ascii="Times New Roman" w:hAnsi="Times New Roman"/>
        </w:rPr>
        <w:t>51-52</w:t>
      </w:r>
      <w:r>
        <w:rPr>
          <w:rFonts w:ascii="Times New Roman" w:hAnsi="Times New Roman"/>
        </w:rPr>
        <w:t xml:space="preserve"> </w:t>
      </w:r>
    </w:p>
  </w:footnote>
  <w:footnote w:id="27">
    <w:p w:rsidR="00D97301" w:rsidRDefault="00D97301">
      <w:pPr>
        <w:pStyle w:val="FootnoteText"/>
      </w:pPr>
      <w:r>
        <w:rPr>
          <w:rStyle w:val="FootnoteReference"/>
        </w:rPr>
        <w:footnoteRef/>
      </w:r>
      <w:r>
        <w:t xml:space="preserve"> </w:t>
      </w:r>
      <w:r>
        <w:rPr>
          <w:rFonts w:ascii="Times New Roman" w:hAnsi="Times New Roman"/>
        </w:rPr>
        <w:t xml:space="preserve">Memorandum Opinion at 55, </w:t>
      </w:r>
      <w:r w:rsidRPr="00037BBF">
        <w:rPr>
          <w:rFonts w:ascii="Times New Roman" w:hAnsi="Times New Roman"/>
          <w:i/>
        </w:rPr>
        <w:t>Klayman v. Obama</w:t>
      </w:r>
      <w:r w:rsidRPr="00C6109B">
        <w:rPr>
          <w:rFonts w:ascii="Times New Roman" w:hAnsi="Times New Roman"/>
        </w:rPr>
        <w:t xml:space="preserve">, </w:t>
      </w:r>
      <w:r>
        <w:rPr>
          <w:rFonts w:ascii="Times New Roman" w:hAnsi="Times New Roman"/>
        </w:rPr>
        <w:t>No. 13-0851 (D.D.C. Dec. 16, 2013)</w:t>
      </w:r>
    </w:p>
  </w:footnote>
  <w:footnote w:id="28">
    <w:p w:rsidR="00D97301" w:rsidRDefault="00D97301">
      <w:pPr>
        <w:pStyle w:val="FootnoteText"/>
      </w:pPr>
      <w:r>
        <w:rPr>
          <w:rStyle w:val="FootnoteReference"/>
        </w:rPr>
        <w:footnoteRef/>
      </w:r>
      <w:r>
        <w:t xml:space="preserve"> </w:t>
      </w:r>
      <w:r w:rsidRPr="004F731A">
        <w:rPr>
          <w:i/>
        </w:rPr>
        <w:t>Id.</w:t>
      </w:r>
      <w:r>
        <w:rPr>
          <w:rFonts w:ascii="Times New Roman" w:hAnsi="Times New Roman"/>
        </w:rPr>
        <w:t xml:space="preserve"> at 56</w:t>
      </w:r>
    </w:p>
  </w:footnote>
  <w:footnote w:id="29">
    <w:p w:rsidR="00D97301" w:rsidRPr="00166F00" w:rsidRDefault="00D97301">
      <w:pPr>
        <w:pStyle w:val="FootnoteText"/>
      </w:pPr>
      <w:r>
        <w:rPr>
          <w:rStyle w:val="FootnoteReference"/>
        </w:rPr>
        <w:footnoteRef/>
      </w:r>
      <w:r>
        <w:t xml:space="preserve"> PCLOB Report, pg 109; in citing Justice John Marshall Harlan’s concurring opinion in </w:t>
      </w:r>
      <w:r>
        <w:rPr>
          <w:i/>
        </w:rPr>
        <w:t xml:space="preserve">Katz, </w:t>
      </w:r>
      <w:r>
        <w:t xml:space="preserve">389 U.S. at 361 </w:t>
      </w:r>
    </w:p>
  </w:footnote>
  <w:footnote w:id="30">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Pr>
          <w:rFonts w:ascii="Times New Roman" w:hAnsi="Times New Roman"/>
        </w:rPr>
        <w:t xml:space="preserve"> Memorandum &amp; Order at</w:t>
      </w:r>
      <w:r w:rsidRPr="00C6109B">
        <w:rPr>
          <w:rFonts w:ascii="Times New Roman" w:hAnsi="Times New Roman"/>
        </w:rPr>
        <w:t xml:space="preserve"> 42</w:t>
      </w:r>
      <w:r>
        <w:rPr>
          <w:rFonts w:ascii="Times New Roman" w:hAnsi="Times New Roman"/>
        </w:rPr>
        <w:t xml:space="preserve">, </w:t>
      </w:r>
      <w:r w:rsidRPr="00A67271">
        <w:rPr>
          <w:rFonts w:ascii="Times New Roman" w:hAnsi="Times New Roman"/>
          <w:i/>
        </w:rPr>
        <w:t>ACLU v. Clapper</w:t>
      </w:r>
      <w:r>
        <w:rPr>
          <w:rFonts w:ascii="Times New Roman" w:hAnsi="Times New Roman"/>
        </w:rPr>
        <w:t>, No. 13-3994 (S.D.N.Y. Dec. 27, 2013)</w:t>
      </w:r>
    </w:p>
  </w:footnote>
  <w:footnote w:id="31">
    <w:p w:rsidR="00D97301" w:rsidRPr="00060110" w:rsidRDefault="00D97301" w:rsidP="00DB604D">
      <w:pPr>
        <w:pStyle w:val="FootnoteText"/>
      </w:pPr>
      <w:r>
        <w:rPr>
          <w:rStyle w:val="FootnoteReference"/>
        </w:rPr>
        <w:footnoteRef/>
      </w:r>
      <w:r>
        <w:t xml:space="preserve"> PCLOB Report, at 118, in citing </w:t>
      </w:r>
      <w:r>
        <w:rPr>
          <w:i/>
        </w:rPr>
        <w:t xml:space="preserve">Smith, 442 </w:t>
      </w:r>
      <w:r w:rsidRPr="00060110">
        <w:t>U.S.</w:t>
      </w:r>
      <w:r>
        <w:t xml:space="preserve"> at 749 (Marshall, J., dissenting)</w:t>
      </w:r>
    </w:p>
  </w:footnote>
  <w:footnote w:id="32">
    <w:p w:rsidR="00D97301" w:rsidRPr="0017070D" w:rsidRDefault="00D97301">
      <w:pPr>
        <w:pStyle w:val="FootnoteText"/>
      </w:pPr>
      <w:r>
        <w:rPr>
          <w:rStyle w:val="FootnoteReference"/>
        </w:rPr>
        <w:footnoteRef/>
      </w:r>
      <w:r>
        <w:t xml:space="preserve"> </w:t>
      </w:r>
      <w:r w:rsidRPr="005B2441">
        <w:rPr>
          <w:i/>
        </w:rPr>
        <w:t>United States v. Jones</w:t>
      </w:r>
      <w:r w:rsidRPr="005B2441">
        <w:t>, 132 S. Ct. at</w:t>
      </w:r>
      <w:r>
        <w:t xml:space="preserve"> 957 (Sotomayor, J., concurring)</w:t>
      </w:r>
    </w:p>
  </w:footnote>
  <w:footnote w:id="33">
    <w:p w:rsidR="00D97301" w:rsidRDefault="00D97301">
      <w:pPr>
        <w:pStyle w:val="FootnoteText"/>
      </w:pPr>
      <w:r>
        <w:rPr>
          <w:rStyle w:val="FootnoteReference"/>
        </w:rPr>
        <w:footnoteRef/>
      </w:r>
      <w:r>
        <w:t xml:space="preserve"> </w:t>
      </w:r>
      <w:r w:rsidRPr="009910C8">
        <w:rPr>
          <w:i/>
        </w:rPr>
        <w:t>Smith v. Maryland</w:t>
      </w:r>
      <w:r>
        <w:t xml:space="preserve">, </w:t>
      </w:r>
      <w:r w:rsidRPr="009910C8">
        <w:t>442 U.S. 735 (1979)</w:t>
      </w:r>
      <w:r>
        <w:t xml:space="preserve"> at 738</w:t>
      </w:r>
    </w:p>
  </w:footnote>
  <w:footnote w:id="34">
    <w:p w:rsidR="00D97301" w:rsidRDefault="00D97301" w:rsidP="00984FE3">
      <w:pPr>
        <w:pStyle w:val="FootnoteText"/>
      </w:pPr>
      <w:r>
        <w:rPr>
          <w:rStyle w:val="FootnoteReference"/>
        </w:rPr>
        <w:footnoteRef/>
      </w:r>
      <w:r>
        <w:t xml:space="preserve"> </w:t>
      </w:r>
      <w:r w:rsidRPr="004F731A">
        <w:rPr>
          <w:i/>
        </w:rPr>
        <w:t>Id.</w:t>
      </w:r>
      <w:r>
        <w:rPr>
          <w:i/>
        </w:rPr>
        <w:t xml:space="preserve"> </w:t>
      </w:r>
      <w:r>
        <w:t>at 740</w:t>
      </w:r>
    </w:p>
  </w:footnote>
  <w:footnote w:id="35">
    <w:p w:rsidR="00D97301" w:rsidRDefault="00D97301" w:rsidP="00984FE3">
      <w:pPr>
        <w:pStyle w:val="FootnoteText"/>
      </w:pPr>
      <w:r>
        <w:rPr>
          <w:rStyle w:val="FootnoteReference"/>
        </w:rPr>
        <w:footnoteRef/>
      </w:r>
      <w:r>
        <w:t xml:space="preserve"> </w:t>
      </w:r>
      <w:r w:rsidRPr="004F731A">
        <w:rPr>
          <w:i/>
        </w:rPr>
        <w:t>Id.</w:t>
      </w:r>
      <w:r>
        <w:t xml:space="preserve"> at 741</w:t>
      </w:r>
    </w:p>
  </w:footnote>
  <w:footnote w:id="36">
    <w:p w:rsidR="00D97301" w:rsidRDefault="00D97301">
      <w:pPr>
        <w:pStyle w:val="FootnoteText"/>
      </w:pPr>
      <w:r>
        <w:rPr>
          <w:rStyle w:val="FootnoteReference"/>
        </w:rPr>
        <w:footnoteRef/>
      </w:r>
      <w:r>
        <w:t xml:space="preserve"> </w:t>
      </w:r>
      <w:r w:rsidRPr="009910C8">
        <w:rPr>
          <w:i/>
        </w:rPr>
        <w:t>Smith v. Maryland</w:t>
      </w:r>
      <w:r>
        <w:t xml:space="preserve">, </w:t>
      </w:r>
      <w:r w:rsidRPr="009910C8">
        <w:t>442 U.S. 735 (1979)</w:t>
      </w:r>
      <w:r>
        <w:t xml:space="preserve"> at 742</w:t>
      </w:r>
    </w:p>
  </w:footnote>
  <w:footnote w:id="37">
    <w:p w:rsidR="00D97301" w:rsidRDefault="00D97301">
      <w:pPr>
        <w:pStyle w:val="FootnoteText"/>
      </w:pPr>
      <w:r>
        <w:rPr>
          <w:rStyle w:val="FootnoteReference"/>
        </w:rPr>
        <w:footnoteRef/>
      </w:r>
      <w:r>
        <w:t xml:space="preserve"> </w:t>
      </w:r>
      <w:r w:rsidRPr="004F731A">
        <w:rPr>
          <w:i/>
        </w:rPr>
        <w:t>Id.</w:t>
      </w:r>
      <w:r>
        <w:t xml:space="preserve"> at 743-4</w:t>
      </w:r>
    </w:p>
  </w:footnote>
  <w:footnote w:id="38">
    <w:p w:rsidR="00D97301" w:rsidRDefault="00D97301">
      <w:pPr>
        <w:pStyle w:val="FootnoteText"/>
      </w:pPr>
      <w:r>
        <w:rPr>
          <w:rStyle w:val="FootnoteReference"/>
        </w:rPr>
        <w:footnoteRef/>
      </w:r>
      <w:r>
        <w:t xml:space="preserve"> </w:t>
      </w:r>
      <w:r w:rsidRPr="004F731A">
        <w:rPr>
          <w:i/>
        </w:rPr>
        <w:t>Id</w:t>
      </w:r>
      <w:r>
        <w:rPr>
          <w:i/>
        </w:rPr>
        <w:t xml:space="preserve">. </w:t>
      </w:r>
      <w:r>
        <w:t>at 747-8</w:t>
      </w:r>
    </w:p>
  </w:footnote>
  <w:footnote w:id="39">
    <w:p w:rsidR="00D97301" w:rsidRDefault="00D97301" w:rsidP="00FD47AF">
      <w:pPr>
        <w:pStyle w:val="FootnoteText"/>
      </w:pPr>
      <w:r>
        <w:rPr>
          <w:rStyle w:val="FootnoteReference"/>
        </w:rPr>
        <w:footnoteRef/>
      </w:r>
      <w:r>
        <w:t xml:space="preserve"> </w:t>
      </w:r>
      <w:r w:rsidRPr="009910C8">
        <w:rPr>
          <w:i/>
        </w:rPr>
        <w:t>Smith v. Maryland</w:t>
      </w:r>
      <w:r>
        <w:t xml:space="preserve">, </w:t>
      </w:r>
      <w:r w:rsidRPr="009910C8">
        <w:t>442 U.S. 735 (1979)</w:t>
      </w:r>
      <w:r>
        <w:t xml:space="preserve"> at 749</w:t>
      </w:r>
    </w:p>
  </w:footnote>
  <w:footnote w:id="40">
    <w:p w:rsidR="00D97301" w:rsidRDefault="00D97301">
      <w:pPr>
        <w:pStyle w:val="FootnoteText"/>
      </w:pPr>
      <w:r>
        <w:rPr>
          <w:rStyle w:val="FootnoteReference"/>
        </w:rPr>
        <w:footnoteRef/>
      </w:r>
      <w:r>
        <w:t xml:space="preserve"> See e.g. </w:t>
      </w:r>
      <w:hyperlink r:id="rId6" w:history="1">
        <w:r w:rsidRPr="003C2456">
          <w:rPr>
            <w:rStyle w:val="Hyperlink"/>
          </w:rPr>
          <w:t>http://thehill.com/blogs/blog-briefing-room/195931-poll-public-turning-against-nsa-practices</w:t>
        </w:r>
      </w:hyperlink>
      <w:r>
        <w:t xml:space="preserve"> and </w:t>
      </w:r>
      <w:hyperlink r:id="rId7" w:history="1">
        <w:r w:rsidRPr="003C2456">
          <w:rPr>
            <w:rStyle w:val="Hyperlink"/>
          </w:rPr>
          <w:t>https://www.eff.org/deeplinks/2013/10/polls-continue-show-majority-americans-against-nsa-spying</w:t>
        </w:r>
      </w:hyperlink>
      <w:r>
        <w:t xml:space="preserve"> </w:t>
      </w:r>
    </w:p>
  </w:footnote>
  <w:footnote w:id="41">
    <w:p w:rsidR="00D97301" w:rsidRPr="0036385B" w:rsidRDefault="00D97301" w:rsidP="005E6516">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Some of the oversight measures include; the reasonable articulable standard, identities are not revealed when querying the database - only numbers, rigorous minimization procedures, FISC provides judicial oversight and Congress (in reauthorizing the surveillance program) provides legislative oversight.</w:t>
      </w:r>
    </w:p>
  </w:footnote>
  <w:footnote w:id="42">
    <w:p w:rsidR="00D97301" w:rsidRPr="0036385B" w:rsidRDefault="00D97301" w:rsidP="005E6516">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Pr>
          <w:rFonts w:ascii="Times New Roman" w:hAnsi="Times New Roman"/>
        </w:rPr>
        <w:t xml:space="preserve">Memorandum &amp; Order at 12 and 43, </w:t>
      </w:r>
      <w:r w:rsidRPr="00A67271">
        <w:rPr>
          <w:rFonts w:ascii="Times New Roman" w:hAnsi="Times New Roman"/>
          <w:i/>
        </w:rPr>
        <w:t>ACLU v. Clapper</w:t>
      </w:r>
      <w:r>
        <w:rPr>
          <w:rFonts w:ascii="Times New Roman" w:hAnsi="Times New Roman"/>
        </w:rPr>
        <w:t>, No. 13-3994 (S.D.N.Y. Dec. 27, 2013)</w:t>
      </w:r>
    </w:p>
  </w:footnote>
  <w:footnote w:id="43">
    <w:p w:rsidR="00D97301" w:rsidRPr="0036385B" w:rsidRDefault="00D97301" w:rsidP="005E6516">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w:t>
      </w:r>
      <w:r w:rsidRPr="004F731A">
        <w:rPr>
          <w:i/>
        </w:rPr>
        <w:t>Id.</w:t>
      </w:r>
      <w:r>
        <w:rPr>
          <w:rFonts w:ascii="Times New Roman" w:hAnsi="Times New Roman"/>
        </w:rPr>
        <w:t xml:space="preserve"> at</w:t>
      </w:r>
      <w:r w:rsidRPr="00C6109B">
        <w:rPr>
          <w:rFonts w:ascii="Times New Roman" w:hAnsi="Times New Roman"/>
        </w:rPr>
        <w:t xml:space="preserve"> 42</w:t>
      </w:r>
    </w:p>
  </w:footnote>
  <w:footnote w:id="44">
    <w:p w:rsidR="00D97301" w:rsidRPr="0036385B" w:rsidRDefault="00D97301" w:rsidP="00CF3C20">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Plaintiffs’ Reply in Support of Their Mot</w:t>
      </w:r>
      <w:r>
        <w:rPr>
          <w:rFonts w:ascii="Times New Roman" w:hAnsi="Times New Roman"/>
        </w:rPr>
        <w:t>ions for Preliminary Injunction</w:t>
      </w:r>
      <w:r w:rsidRPr="00C6109B">
        <w:rPr>
          <w:rFonts w:ascii="Times New Roman" w:hAnsi="Times New Roman"/>
        </w:rPr>
        <w:t xml:space="preserve"> </w:t>
      </w:r>
      <w:r>
        <w:rPr>
          <w:rFonts w:ascii="Times New Roman" w:hAnsi="Times New Roman"/>
        </w:rPr>
        <w:t>at</w:t>
      </w:r>
      <w:r w:rsidRPr="00C6109B">
        <w:rPr>
          <w:rFonts w:ascii="Times New Roman" w:hAnsi="Times New Roman"/>
        </w:rPr>
        <w:t xml:space="preserve"> 18-19</w:t>
      </w:r>
      <w:r>
        <w:rPr>
          <w:rFonts w:ascii="Times New Roman" w:hAnsi="Times New Roman"/>
        </w:rPr>
        <w:t xml:space="preserve">, </w:t>
      </w:r>
      <w:r w:rsidRPr="000A7F4A">
        <w:rPr>
          <w:rFonts w:ascii="Times New Roman" w:hAnsi="Times New Roman"/>
          <w:i/>
        </w:rPr>
        <w:t>Klayman v. Obama</w:t>
      </w:r>
      <w:r>
        <w:rPr>
          <w:rFonts w:ascii="Times New Roman" w:hAnsi="Times New Roman"/>
        </w:rPr>
        <w:t>, No. 13-0852</w:t>
      </w:r>
    </w:p>
  </w:footnote>
  <w:footnote w:id="45">
    <w:p w:rsidR="00D97301" w:rsidRPr="0036385B" w:rsidRDefault="00D97301">
      <w:pPr>
        <w:pStyle w:val="FootnoteText"/>
        <w:rPr>
          <w:rFonts w:ascii="Times New Roman" w:hAnsi="Times New Roman"/>
        </w:rPr>
      </w:pPr>
      <w:r w:rsidRPr="00C6109B">
        <w:rPr>
          <w:rStyle w:val="FootnoteReference"/>
          <w:rFonts w:ascii="Times New Roman" w:hAnsi="Times New Roman"/>
        </w:rPr>
        <w:footnoteRef/>
      </w:r>
      <w:r w:rsidRPr="00C6109B">
        <w:rPr>
          <w:rFonts w:ascii="Times New Roman" w:hAnsi="Times New Roman"/>
        </w:rPr>
        <w:t xml:space="preserve"> U.S. Constitution, V amendment</w:t>
      </w:r>
    </w:p>
  </w:footnote>
  <w:footnote w:id="46">
    <w:p w:rsidR="00D97301" w:rsidRDefault="00D97301" w:rsidP="008E6C73">
      <w:pPr>
        <w:pStyle w:val="FootnoteText"/>
      </w:pPr>
      <w:r>
        <w:rPr>
          <w:rStyle w:val="FootnoteReference"/>
        </w:rPr>
        <w:footnoteRef/>
      </w:r>
      <w:r>
        <w:t xml:space="preserve"> </w:t>
      </w:r>
      <w:r>
        <w:rPr>
          <w:rFonts w:ascii="Times New Roman" w:hAnsi="Times New Roman"/>
        </w:rPr>
        <w:t xml:space="preserve">Memorandum &amp; Order at 8-9, </w:t>
      </w:r>
      <w:r w:rsidRPr="00A67271">
        <w:rPr>
          <w:rFonts w:ascii="Times New Roman" w:hAnsi="Times New Roman"/>
          <w:i/>
        </w:rPr>
        <w:t>ACLU v. Clapper</w:t>
      </w:r>
      <w:r>
        <w:rPr>
          <w:rFonts w:ascii="Times New Roman" w:hAnsi="Times New Roman"/>
        </w:rPr>
        <w:t>, No. 13-3994 (S.D.N.Y. Aug. 26, 2013)</w:t>
      </w:r>
    </w:p>
  </w:footnote>
  <w:footnote w:id="47">
    <w:p w:rsidR="00D97301" w:rsidRDefault="00D97301">
      <w:pPr>
        <w:pStyle w:val="FootnoteText"/>
      </w:pPr>
      <w:r>
        <w:rPr>
          <w:rStyle w:val="FootnoteReference"/>
        </w:rPr>
        <w:footnoteRef/>
      </w:r>
      <w:r>
        <w:t xml:space="preserve"> </w:t>
      </w:r>
      <w:r>
        <w:rPr>
          <w:rFonts w:ascii="Times New Roman" w:hAnsi="Times New Roman"/>
        </w:rPr>
        <w:t xml:space="preserve">Defendants’ Memorandum of Law in Support of Motion to Dismiss the Complaint at 21, </w:t>
      </w:r>
      <w:r w:rsidRPr="00A67271">
        <w:rPr>
          <w:rFonts w:ascii="Times New Roman" w:hAnsi="Times New Roman"/>
          <w:i/>
        </w:rPr>
        <w:t>ACLU v. Clapper</w:t>
      </w:r>
      <w:r>
        <w:rPr>
          <w:rFonts w:ascii="Times New Roman" w:hAnsi="Times New Roman"/>
        </w:rPr>
        <w:t>, No. 13-3994 (S.D.N.Y. Aug. 26, 2013)</w:t>
      </w:r>
    </w:p>
  </w:footnote>
  <w:footnote w:id="48">
    <w:p w:rsidR="00D97301" w:rsidRDefault="00D97301">
      <w:pPr>
        <w:pStyle w:val="FootnoteText"/>
      </w:pPr>
      <w:r>
        <w:rPr>
          <w:rStyle w:val="FootnoteReference"/>
        </w:rPr>
        <w:footnoteRef/>
      </w:r>
      <w:r>
        <w:t xml:space="preserve"> </w:t>
      </w:r>
      <w:r>
        <w:rPr>
          <w:rFonts w:ascii="Times New Roman" w:hAnsi="Times New Roman"/>
        </w:rPr>
        <w:t xml:space="preserve">Defendants’ Memorandum of Law in Support of Motion to Dismiss the Complaint at 29, </w:t>
      </w:r>
      <w:r w:rsidRPr="00A67271">
        <w:rPr>
          <w:rFonts w:ascii="Times New Roman" w:hAnsi="Times New Roman"/>
          <w:i/>
        </w:rPr>
        <w:t>ACLU v. Clapper</w:t>
      </w:r>
      <w:r>
        <w:rPr>
          <w:rFonts w:ascii="Times New Roman" w:hAnsi="Times New Roman"/>
        </w:rPr>
        <w:t>, No. 13-3994 (S.D.N.Y. Aug. 26, 2013)</w:t>
      </w:r>
    </w:p>
  </w:footnote>
  <w:footnote w:id="49">
    <w:p w:rsidR="00D97301" w:rsidRDefault="00D97301">
      <w:pPr>
        <w:pStyle w:val="FootnoteText"/>
      </w:pPr>
      <w:r>
        <w:rPr>
          <w:rStyle w:val="FootnoteReference"/>
        </w:rPr>
        <w:footnoteRef/>
      </w:r>
      <w:r>
        <w:t xml:space="preserve"> </w:t>
      </w:r>
      <w:r>
        <w:rPr>
          <w:rFonts w:ascii="Times New Roman" w:hAnsi="Times New Roman"/>
        </w:rPr>
        <w:t>Memorandum &amp; Order at</w:t>
      </w:r>
      <w:r w:rsidRPr="00C6109B">
        <w:rPr>
          <w:rFonts w:ascii="Times New Roman" w:hAnsi="Times New Roman"/>
        </w:rPr>
        <w:t xml:space="preserve"> 42</w:t>
      </w:r>
      <w:r>
        <w:rPr>
          <w:rFonts w:ascii="Times New Roman" w:hAnsi="Times New Roman"/>
        </w:rPr>
        <w:t xml:space="preserve">, </w:t>
      </w:r>
      <w:r w:rsidRPr="00A67271">
        <w:rPr>
          <w:rFonts w:ascii="Times New Roman" w:hAnsi="Times New Roman"/>
          <w:i/>
        </w:rPr>
        <w:t>ACLU v. Clapper</w:t>
      </w:r>
      <w:r>
        <w:rPr>
          <w:rFonts w:ascii="Times New Roman" w:hAnsi="Times New Roman"/>
        </w:rPr>
        <w:t>, No. 13-3994 (S.D.N.Y. Dec. 27, 2013)</w:t>
      </w:r>
    </w:p>
  </w:footnote>
  <w:footnote w:id="50">
    <w:p w:rsidR="00D97301" w:rsidRDefault="00D97301">
      <w:pPr>
        <w:pStyle w:val="FootnoteText"/>
      </w:pPr>
      <w:r>
        <w:rPr>
          <w:rStyle w:val="FootnoteReference"/>
        </w:rPr>
        <w:footnoteRef/>
      </w:r>
      <w:r>
        <w:t xml:space="preserve"> </w:t>
      </w:r>
      <w:r>
        <w:rPr>
          <w:rFonts w:ascii="Times New Roman" w:hAnsi="Times New Roman"/>
        </w:rPr>
        <w:t xml:space="preserve">Supplemental Declaration of Professor Felton at 3, </w:t>
      </w:r>
      <w:r w:rsidRPr="00A67271">
        <w:rPr>
          <w:rFonts w:ascii="Times New Roman" w:hAnsi="Times New Roman"/>
          <w:i/>
        </w:rPr>
        <w:t>ACLU v. Clapper</w:t>
      </w:r>
      <w:r>
        <w:rPr>
          <w:rFonts w:ascii="Times New Roman" w:hAnsi="Times New Roman"/>
        </w:rPr>
        <w:t xml:space="preserve">, No. 13-3994 (S.D.N.Y. </w:t>
      </w:r>
      <w:r>
        <w:t>Oct. 25, 2013</w:t>
      </w:r>
      <w:r>
        <w:rPr>
          <w:rFonts w:ascii="Times New Roman" w:hAnsi="Times New Roman"/>
        </w:rPr>
        <w:t>)</w:t>
      </w:r>
      <w:r>
        <w:t xml:space="preserve">; retrieved from </w:t>
      </w:r>
      <w:hyperlink r:id="rId8" w:history="1">
        <w:r w:rsidRPr="001C714F">
          <w:rPr>
            <w:rStyle w:val="Hyperlink"/>
          </w:rPr>
          <w:t>https://www.aclu.org/files/assets/2013.10.25_aclu_pi_reply_-_suppl_felten_decl.pdf</w:t>
        </w:r>
      </w:hyperlink>
      <w:r>
        <w:t xml:space="preserve"> </w:t>
      </w:r>
    </w:p>
  </w:footnote>
  <w:footnote w:id="51">
    <w:p w:rsidR="00D97301" w:rsidRDefault="00D97301">
      <w:pPr>
        <w:pStyle w:val="FootnoteText"/>
      </w:pPr>
      <w:r>
        <w:rPr>
          <w:rStyle w:val="FootnoteReference"/>
        </w:rPr>
        <w:footnoteRef/>
      </w:r>
      <w:r>
        <w:t xml:space="preserve"> </w:t>
      </w:r>
      <w:r>
        <w:rPr>
          <w:rFonts w:ascii="Times New Roman" w:hAnsi="Times New Roman"/>
        </w:rPr>
        <w:t xml:space="preserve">Defendants’ Memorandum of Law in Support of Motion to Dismiss the Complaint at 28, </w:t>
      </w:r>
      <w:r w:rsidRPr="00A67271">
        <w:rPr>
          <w:rFonts w:ascii="Times New Roman" w:hAnsi="Times New Roman"/>
          <w:i/>
        </w:rPr>
        <w:t>ACLU v. Clapper</w:t>
      </w:r>
      <w:r>
        <w:rPr>
          <w:rFonts w:ascii="Times New Roman" w:hAnsi="Times New Roman"/>
        </w:rPr>
        <w:t xml:space="preserve">, No. 13-3994 (S.D.N.Y. Aug. 26, 2013) </w:t>
      </w:r>
    </w:p>
  </w:footnote>
  <w:footnote w:id="52">
    <w:p w:rsidR="00D97301" w:rsidRDefault="00D97301">
      <w:pPr>
        <w:pStyle w:val="FootnoteText"/>
      </w:pPr>
      <w:r>
        <w:rPr>
          <w:rStyle w:val="FootnoteReference"/>
        </w:rPr>
        <w:footnoteRef/>
      </w:r>
      <w:r>
        <w:t xml:space="preserve"> </w:t>
      </w:r>
      <w:r w:rsidRPr="004F731A">
        <w:rPr>
          <w:i/>
        </w:rPr>
        <w:t>Id.</w:t>
      </w:r>
      <w:r>
        <w:rPr>
          <w:rFonts w:ascii="Times New Roman" w:hAnsi="Times New Roman"/>
        </w:rPr>
        <w:t xml:space="preserve"> at 30</w:t>
      </w:r>
    </w:p>
  </w:footnote>
  <w:footnote w:id="53">
    <w:p w:rsidR="00D97301" w:rsidRDefault="00D97301">
      <w:pPr>
        <w:pStyle w:val="FootnoteText"/>
      </w:pPr>
      <w:r>
        <w:rPr>
          <w:rStyle w:val="FootnoteReference"/>
        </w:rPr>
        <w:footnoteRef/>
      </w:r>
      <w:r>
        <w:t xml:space="preserve"> </w:t>
      </w:r>
      <w:r>
        <w:rPr>
          <w:rFonts w:ascii="Times New Roman" w:hAnsi="Times New Roman"/>
        </w:rPr>
        <w:t xml:space="preserve">Memorandum &amp; Order at 32, </w:t>
      </w:r>
      <w:r w:rsidRPr="00A67271">
        <w:rPr>
          <w:rFonts w:ascii="Times New Roman" w:hAnsi="Times New Roman"/>
          <w:i/>
        </w:rPr>
        <w:t>ACLU v. Clapper</w:t>
      </w:r>
      <w:r>
        <w:rPr>
          <w:rFonts w:ascii="Times New Roman" w:hAnsi="Times New Roman"/>
        </w:rPr>
        <w:t>, No. 13-3994 (S.D.N.Y. Dec. 27, 2013)</w:t>
      </w:r>
    </w:p>
  </w:footnote>
  <w:footnote w:id="54">
    <w:p w:rsidR="00D97301" w:rsidRDefault="00D97301">
      <w:pPr>
        <w:pStyle w:val="FootnoteText"/>
      </w:pPr>
      <w:r>
        <w:rPr>
          <w:rStyle w:val="FootnoteReference"/>
        </w:rPr>
        <w:footnoteRef/>
      </w:r>
      <w:r>
        <w:t xml:space="preserve"> </w:t>
      </w:r>
      <w:r>
        <w:rPr>
          <w:rFonts w:ascii="Times New Roman" w:hAnsi="Times New Roman"/>
        </w:rPr>
        <w:t xml:space="preserve">Memorandum &amp; Order at 33, </w:t>
      </w:r>
      <w:r w:rsidRPr="00A67271">
        <w:rPr>
          <w:rFonts w:ascii="Times New Roman" w:hAnsi="Times New Roman"/>
          <w:i/>
        </w:rPr>
        <w:t>ACLU v. Clapper</w:t>
      </w:r>
      <w:r>
        <w:rPr>
          <w:rFonts w:ascii="Times New Roman" w:hAnsi="Times New Roman"/>
        </w:rPr>
        <w:t xml:space="preserve">, No. 13-3994 (S.D.N.Y. Dec. 27, 2013). The full passage reads, “And it was the FISC that limited the NSA’s production of telephony metadata to the FBI. While section 215 contemplates that tangible items will be produced to the FBI, FISC orders require that bulk telephony metadata be produced directly – and only – to the NSA. And the FISC forbids the NSA from disseminating any of that data until after the NSA has identified particular telephony metadata of suspected terrorists. Without those minimization procedures, FISC would not issue any section 215 orders for bulk telephony metadata collection.” </w:t>
      </w:r>
    </w:p>
  </w:footnote>
  <w:footnote w:id="55">
    <w:p w:rsidR="00D97301" w:rsidRDefault="00D97301">
      <w:pPr>
        <w:pStyle w:val="FootnoteText"/>
      </w:pPr>
      <w:r>
        <w:rPr>
          <w:rStyle w:val="FootnoteReference"/>
        </w:rPr>
        <w:footnoteRef/>
      </w:r>
      <w:r>
        <w:t xml:space="preserve"> </w:t>
      </w:r>
      <w:r>
        <w:rPr>
          <w:rFonts w:ascii="Times New Roman" w:hAnsi="Times New Roman"/>
        </w:rPr>
        <w:t xml:space="preserve">Memorandum &amp; Order at 33, </w:t>
      </w:r>
      <w:r w:rsidRPr="00A67271">
        <w:rPr>
          <w:rFonts w:ascii="Times New Roman" w:hAnsi="Times New Roman"/>
          <w:i/>
        </w:rPr>
        <w:t>ACLU v. Clapper</w:t>
      </w:r>
      <w:r>
        <w:rPr>
          <w:rFonts w:ascii="Times New Roman" w:hAnsi="Times New Roman"/>
        </w:rPr>
        <w:t>, No. 13-3994 (S.D.N.Y. Dec. 27, 2013)</w:t>
      </w:r>
    </w:p>
  </w:footnote>
  <w:footnote w:id="56">
    <w:p w:rsidR="00D97301" w:rsidRDefault="00D97301">
      <w:pPr>
        <w:pStyle w:val="FootnoteText"/>
      </w:pPr>
      <w:r>
        <w:rPr>
          <w:rStyle w:val="FootnoteReference"/>
        </w:rPr>
        <w:footnoteRef/>
      </w:r>
      <w:r>
        <w:t xml:space="preserve"> </w:t>
      </w:r>
      <w:r w:rsidRPr="004F731A">
        <w:rPr>
          <w:i/>
        </w:rPr>
        <w:t>Id.</w:t>
      </w:r>
      <w:r>
        <w:rPr>
          <w:rFonts w:ascii="Times New Roman" w:hAnsi="Times New Roman"/>
        </w:rPr>
        <w:t xml:space="preserve"> at 35</w:t>
      </w:r>
    </w:p>
  </w:footnote>
  <w:footnote w:id="57">
    <w:p w:rsidR="00D97301" w:rsidRPr="00C17E45" w:rsidRDefault="00D97301">
      <w:pPr>
        <w:pStyle w:val="FootnoteText"/>
      </w:pPr>
      <w:r>
        <w:rPr>
          <w:rStyle w:val="FootnoteReference"/>
        </w:rPr>
        <w:footnoteRef/>
      </w:r>
      <w:r>
        <w:t xml:space="preserve"> Memorandum Opinion at 23-24, </w:t>
      </w:r>
      <w:r>
        <w:rPr>
          <w:i/>
        </w:rPr>
        <w:t>Klayman v. Obama</w:t>
      </w:r>
      <w:r>
        <w:t>, No. 13-0851 (D.D.C. Dec. 16, 2013)</w:t>
      </w:r>
    </w:p>
  </w:footnote>
  <w:footnote w:id="58">
    <w:p w:rsidR="00D97301" w:rsidRDefault="00D97301" w:rsidP="00832EF8">
      <w:pPr>
        <w:pStyle w:val="FootnoteText"/>
      </w:pPr>
      <w:r>
        <w:rPr>
          <w:rStyle w:val="FootnoteReference"/>
        </w:rPr>
        <w:footnoteRef/>
      </w:r>
      <w:r>
        <w:t xml:space="preserve"> Memorandum Opinion at 25, </w:t>
      </w:r>
      <w:r>
        <w:rPr>
          <w:i/>
        </w:rPr>
        <w:t>Klayman v. Obama</w:t>
      </w:r>
      <w:r>
        <w:t>, No. 13-0851 (D.D.C. Dec. 16, 2013)</w:t>
      </w:r>
    </w:p>
  </w:footnote>
  <w:footnote w:id="59">
    <w:p w:rsidR="00D97301" w:rsidRDefault="00D97301">
      <w:pPr>
        <w:pStyle w:val="FootnoteText"/>
      </w:pPr>
      <w:r>
        <w:rPr>
          <w:rStyle w:val="FootnoteReference"/>
        </w:rPr>
        <w:footnoteRef/>
      </w:r>
      <w:r>
        <w:t xml:space="preserve"> </w:t>
      </w:r>
      <w:r w:rsidRPr="004F731A">
        <w:rPr>
          <w:i/>
        </w:rPr>
        <w:t>Id.</w:t>
      </w:r>
      <w:r>
        <w:rPr>
          <w:i/>
        </w:rPr>
        <w:t xml:space="preserve"> </w:t>
      </w:r>
      <w:r>
        <w:t>at 24</w:t>
      </w:r>
    </w:p>
  </w:footnote>
  <w:footnote w:id="60">
    <w:p w:rsidR="00D97301" w:rsidRDefault="00D97301">
      <w:pPr>
        <w:pStyle w:val="FootnoteText"/>
      </w:pPr>
      <w:r>
        <w:rPr>
          <w:rStyle w:val="FootnoteReference"/>
        </w:rPr>
        <w:footnoteRef/>
      </w:r>
      <w:r>
        <w:t xml:space="preserve"> </w:t>
      </w:r>
      <w:r w:rsidRPr="004F20B1">
        <w:t>SCA 18 U.S.C. § 2703</w:t>
      </w:r>
      <w:r>
        <w:t>(d)</w:t>
      </w:r>
    </w:p>
  </w:footnote>
  <w:footnote w:id="61">
    <w:p w:rsidR="00D97301" w:rsidRDefault="00D97301">
      <w:pPr>
        <w:pStyle w:val="FootnoteText"/>
      </w:pPr>
      <w:r>
        <w:rPr>
          <w:rStyle w:val="FootnoteReference"/>
        </w:rPr>
        <w:footnoteRef/>
      </w:r>
      <w:r>
        <w:t xml:space="preserve"> Amended Memorandum Opinion at 13, </w:t>
      </w:r>
      <w:r>
        <w:rPr>
          <w:i/>
        </w:rPr>
        <w:t xml:space="preserve">In re Application of the Federal Bureau of Investigation for an order </w:t>
      </w:r>
      <w:r w:rsidR="005A7686">
        <w:rPr>
          <w:i/>
        </w:rPr>
        <w:t>Requiring</w:t>
      </w:r>
      <w:r>
        <w:rPr>
          <w:i/>
        </w:rPr>
        <w:t xml:space="preserve"> the Production of Tangible Things, </w:t>
      </w:r>
      <w:r w:rsidRPr="00DA3697">
        <w:t>No. 12-109 (FISA Ct.</w:t>
      </w:r>
      <w:r>
        <w:rPr>
          <w:i/>
        </w:rPr>
        <w:t xml:space="preserve"> </w:t>
      </w:r>
      <w:r>
        <w:t xml:space="preserve">Aug. 29, 2013). In citing FISA 50 U.S.C. § 1861(b)(2)(B) prior to the PATRIOT Act </w:t>
      </w:r>
    </w:p>
  </w:footnote>
  <w:footnote w:id="62">
    <w:p w:rsidR="00D97301" w:rsidRDefault="00D97301">
      <w:pPr>
        <w:pStyle w:val="FootnoteText"/>
      </w:pPr>
      <w:r>
        <w:rPr>
          <w:rStyle w:val="FootnoteReference"/>
        </w:rPr>
        <w:footnoteRef/>
      </w:r>
      <w:r>
        <w:t xml:space="preserve"> Amended Memorandum Opinion at 15, </w:t>
      </w:r>
      <w:r>
        <w:rPr>
          <w:i/>
        </w:rPr>
        <w:t xml:space="preserve">In re Application of the Federal Bureau of Investigation for an order </w:t>
      </w:r>
      <w:r w:rsidR="005A7686">
        <w:rPr>
          <w:i/>
        </w:rPr>
        <w:t>Requiring</w:t>
      </w:r>
      <w:r>
        <w:rPr>
          <w:i/>
        </w:rPr>
        <w:t xml:space="preserve"> the Production of Tangible Things, </w:t>
      </w:r>
      <w:r w:rsidRPr="00DA3697">
        <w:t>No. 12-109 (FISA Ct.</w:t>
      </w:r>
      <w:r>
        <w:rPr>
          <w:i/>
        </w:rPr>
        <w:t xml:space="preserve"> </w:t>
      </w:r>
      <w:r>
        <w:t>Aug. 29, 2013)</w:t>
      </w:r>
    </w:p>
  </w:footnote>
  <w:footnote w:id="63">
    <w:p w:rsidR="00D97301" w:rsidRDefault="00D97301">
      <w:pPr>
        <w:pStyle w:val="FootnoteText"/>
      </w:pPr>
      <w:r>
        <w:rPr>
          <w:rStyle w:val="FootnoteReference"/>
        </w:rPr>
        <w:footnoteRef/>
      </w:r>
      <w:r>
        <w:t xml:space="preserve"> Amended Memorandum Opinion at 16-17, </w:t>
      </w:r>
      <w:r>
        <w:rPr>
          <w:i/>
        </w:rPr>
        <w:t xml:space="preserve">In re Application of the Federal Bureau of Investigation for an order Requiring the Production of Tangible Things, </w:t>
      </w:r>
      <w:r w:rsidRPr="00DA3697">
        <w:t>No. 12-109 (FISA Ct.</w:t>
      </w:r>
      <w:r>
        <w:rPr>
          <w:i/>
        </w:rPr>
        <w:t xml:space="preserve"> </w:t>
      </w:r>
      <w:r>
        <w:t>Aug. 29, 2013)</w:t>
      </w:r>
    </w:p>
  </w:footnote>
  <w:footnote w:id="64">
    <w:p w:rsidR="00D97301" w:rsidRDefault="00D97301">
      <w:pPr>
        <w:pStyle w:val="FootnoteText"/>
      </w:pPr>
      <w:r>
        <w:rPr>
          <w:rStyle w:val="FootnoteReference"/>
        </w:rPr>
        <w:footnoteRef/>
      </w:r>
      <w:r>
        <w:t xml:space="preserve"> </w:t>
      </w:r>
      <w:r w:rsidRPr="004F731A">
        <w:rPr>
          <w:i/>
        </w:rPr>
        <w:t>Id.</w:t>
      </w:r>
      <w:r>
        <w:rPr>
          <w:i/>
        </w:rPr>
        <w:t xml:space="preserve"> </w:t>
      </w:r>
      <w:r>
        <w:t>at 20 &amp; 22</w:t>
      </w:r>
    </w:p>
  </w:footnote>
  <w:footnote w:id="65">
    <w:p w:rsidR="00D97301" w:rsidRPr="00172263" w:rsidRDefault="00D97301" w:rsidP="00172263">
      <w:pPr>
        <w:pStyle w:val="FootnoteText"/>
      </w:pPr>
      <w:r w:rsidRPr="00172263">
        <w:rPr>
          <w:rStyle w:val="FootnoteReference"/>
          <w:b/>
        </w:rPr>
        <w:footnoteRef/>
      </w:r>
      <w:r w:rsidRPr="00172263">
        <w:t xml:space="preserve"> The Oxford English</w:t>
      </w:r>
      <w:r>
        <w:t xml:space="preserve"> Dictionary defines relevant as,</w:t>
      </w:r>
      <w:r w:rsidRPr="00172263">
        <w:t xml:space="preserve"> </w:t>
      </w:r>
      <w:r>
        <w:t>“</w:t>
      </w:r>
      <w:r w:rsidRPr="00172263">
        <w:t xml:space="preserve">Bearing on or connected with the matter in hand; closely relating </w:t>
      </w:r>
      <w:r w:rsidRPr="00172263">
        <w:rPr>
          <w:rStyle w:val="Emphasis"/>
          <w:i w:val="0"/>
        </w:rPr>
        <w:t>to</w:t>
      </w:r>
      <w:r w:rsidRPr="00172263">
        <w:t xml:space="preserve"> the subject or point at issue; pertinent to a specified thing.</w:t>
      </w:r>
      <w:r>
        <w:t xml:space="preserve">” This definition seems to be more restrictive than the one currently used under the 215 Program. After all, can it be possible that the mass of the telephony metadata is ‘closely relating’ or ‘pertinent’ to an authorized investigation?  </w:t>
      </w:r>
    </w:p>
  </w:footnote>
  <w:footnote w:id="66">
    <w:p w:rsidR="00D97301" w:rsidRDefault="00D97301">
      <w:pPr>
        <w:pStyle w:val="FootnoteText"/>
      </w:pPr>
      <w:r>
        <w:rPr>
          <w:rStyle w:val="FootnoteReference"/>
        </w:rPr>
        <w:footnoteRef/>
      </w:r>
      <w:r>
        <w:t xml:space="preserve"> Amended Memorandum Opinion at 19, </w:t>
      </w:r>
      <w:r>
        <w:rPr>
          <w:i/>
        </w:rPr>
        <w:t xml:space="preserve">In re Application of the Federal Bureau of Investigation for an order Requiring the Production of Tangible Things, </w:t>
      </w:r>
      <w:r w:rsidRPr="00DA3697">
        <w:t>No. 12-109 (FISA Ct.</w:t>
      </w:r>
      <w:r>
        <w:rPr>
          <w:i/>
        </w:rPr>
        <w:t xml:space="preserve"> </w:t>
      </w:r>
      <w:r>
        <w:t xml:space="preserve">Aug. 29, 2013) </w:t>
      </w:r>
    </w:p>
  </w:footnote>
  <w:footnote w:id="67">
    <w:p w:rsidR="00D97301" w:rsidRDefault="00D97301">
      <w:pPr>
        <w:pStyle w:val="FootnoteText"/>
      </w:pPr>
      <w:r>
        <w:rPr>
          <w:rStyle w:val="FootnoteReference"/>
        </w:rPr>
        <w:footnoteRef/>
      </w:r>
      <w:r>
        <w:t xml:space="preserve"> Amended Memorandum Opinion at 27-28, </w:t>
      </w:r>
      <w:r>
        <w:rPr>
          <w:i/>
        </w:rPr>
        <w:t xml:space="preserve">In re Application of the Federal Bureau of Investigation for an order Requiring the Production of Tangible Things, </w:t>
      </w:r>
      <w:r w:rsidRPr="00DA3697">
        <w:t>No. 12-109 (FISA Ct.</w:t>
      </w:r>
      <w:r>
        <w:rPr>
          <w:i/>
        </w:rPr>
        <w:t xml:space="preserve"> </w:t>
      </w:r>
      <w:r>
        <w:t xml:space="preserve">Aug. 29, 2013) </w:t>
      </w:r>
    </w:p>
  </w:footnote>
  <w:footnote w:id="68">
    <w:p w:rsidR="00D97301" w:rsidRDefault="00D97301" w:rsidP="009D39BF">
      <w:pPr>
        <w:pStyle w:val="FootnoteText"/>
      </w:pPr>
      <w:r>
        <w:rPr>
          <w:rStyle w:val="FootnoteReference"/>
        </w:rPr>
        <w:footnoteRef/>
      </w:r>
      <w:r>
        <w:t xml:space="preserve"> Judge Eagan’s Opinion detailed above is regarded as the first FISC opinion interpreting the statute. Some have even charged that Judge Eagan’s Opinion was written with the intention to ultimately declassify for release to the public, which was done on September 17, 2013, less than one month after the opinion was penned. See </w:t>
      </w:r>
      <w:hyperlink r:id="rId9" w:history="1">
        <w:r w:rsidRPr="00D322D6">
          <w:rPr>
            <w:rStyle w:val="Hyperlink"/>
          </w:rPr>
          <w:t>http://www.nytimes.com/2013/09/18/us/opinion-by-secret-court-calls-collection-of-phone-data-legal.html</w:t>
        </w:r>
      </w:hyperlink>
      <w:r>
        <w:t xml:space="preserve"> and </w:t>
      </w:r>
      <w:r w:rsidRPr="002932C8">
        <w:t>http://www.lawfareblog.com/2013/09/congress-has-no-clothes-a-quick-and-dirty-summary-of-the-new-fisc-opinion/</w:t>
      </w:r>
      <w:r>
        <w:t xml:space="preserve"> </w:t>
      </w:r>
    </w:p>
  </w:footnote>
  <w:footnote w:id="69">
    <w:p w:rsidR="00D97301" w:rsidRDefault="00D97301">
      <w:pPr>
        <w:pStyle w:val="FootnoteText"/>
      </w:pPr>
      <w:r>
        <w:rPr>
          <w:rStyle w:val="FootnoteReference"/>
        </w:rPr>
        <w:footnoteRef/>
      </w:r>
      <w:r>
        <w:t xml:space="preserve"> PCLOB Report, at 96</w:t>
      </w:r>
    </w:p>
  </w:footnote>
  <w:footnote w:id="70">
    <w:p w:rsidR="00D97301" w:rsidRDefault="00D97301">
      <w:pPr>
        <w:pStyle w:val="FootnoteText"/>
      </w:pPr>
      <w:r>
        <w:rPr>
          <w:rStyle w:val="FootnoteReference"/>
        </w:rPr>
        <w:footnoteRef/>
      </w:r>
      <w:r>
        <w:t xml:space="preserve"> Obama Administration White Paper, at 5</w:t>
      </w:r>
    </w:p>
  </w:footnote>
  <w:footnote w:id="71">
    <w:p w:rsidR="00D97301" w:rsidRDefault="00D97301">
      <w:pPr>
        <w:pStyle w:val="FootnoteText"/>
      </w:pPr>
      <w:r>
        <w:rPr>
          <w:rStyle w:val="FootnoteReference"/>
        </w:rPr>
        <w:footnoteRef/>
      </w:r>
      <w:r>
        <w:t xml:space="preserve"> </w:t>
      </w:r>
      <w:r w:rsidRPr="004F731A">
        <w:rPr>
          <w:i/>
        </w:rPr>
        <w:t>Id.</w:t>
      </w:r>
      <w:r>
        <w:t xml:space="preserve"> at 6</w:t>
      </w:r>
    </w:p>
  </w:footnote>
  <w:footnote w:id="72">
    <w:p w:rsidR="00D97301" w:rsidRDefault="00D97301">
      <w:pPr>
        <w:pStyle w:val="FootnoteText"/>
      </w:pPr>
      <w:r>
        <w:rPr>
          <w:rStyle w:val="FootnoteReference"/>
        </w:rPr>
        <w:footnoteRef/>
      </w:r>
      <w:r>
        <w:t xml:space="preserve"> Obama Administration White Paper, at 6-7</w:t>
      </w:r>
    </w:p>
  </w:footnote>
  <w:footnote w:id="73">
    <w:p w:rsidR="00D97301" w:rsidRDefault="00D97301">
      <w:pPr>
        <w:pStyle w:val="FootnoteText"/>
      </w:pPr>
      <w:r>
        <w:rPr>
          <w:rStyle w:val="FootnoteReference"/>
        </w:rPr>
        <w:footnoteRef/>
      </w:r>
      <w:r>
        <w:t xml:space="preserve"> </w:t>
      </w:r>
      <w:r w:rsidRPr="004F731A">
        <w:rPr>
          <w:i/>
        </w:rPr>
        <w:t>Id.</w:t>
      </w:r>
      <w:r>
        <w:t>, at 8-9</w:t>
      </w:r>
    </w:p>
  </w:footnote>
  <w:footnote w:id="74">
    <w:p w:rsidR="00D97301" w:rsidRDefault="00D97301">
      <w:pPr>
        <w:pStyle w:val="FootnoteText"/>
      </w:pPr>
      <w:r>
        <w:rPr>
          <w:rStyle w:val="FootnoteReference"/>
        </w:rPr>
        <w:footnoteRef/>
      </w:r>
      <w:r>
        <w:t xml:space="preserve"> Obama Administration White Paper, at 11</w:t>
      </w:r>
    </w:p>
  </w:footnote>
  <w:footnote w:id="75">
    <w:p w:rsidR="00D97301" w:rsidRDefault="00D97301">
      <w:pPr>
        <w:pStyle w:val="FootnoteText"/>
      </w:pPr>
      <w:r>
        <w:rPr>
          <w:rStyle w:val="FootnoteReference"/>
        </w:rPr>
        <w:footnoteRef/>
      </w:r>
      <w:r>
        <w:t xml:space="preserve"> </w:t>
      </w:r>
      <w:r w:rsidRPr="004F731A">
        <w:rPr>
          <w:i/>
        </w:rPr>
        <w:t>Id.</w:t>
      </w:r>
      <w:r>
        <w:t>, at 16</w:t>
      </w:r>
    </w:p>
  </w:footnote>
  <w:footnote w:id="76">
    <w:p w:rsidR="00D97301" w:rsidRDefault="00D97301">
      <w:pPr>
        <w:pStyle w:val="FootnoteText"/>
      </w:pPr>
      <w:r>
        <w:rPr>
          <w:rStyle w:val="FootnoteReference"/>
        </w:rPr>
        <w:footnoteRef/>
      </w:r>
      <w:r>
        <w:t xml:space="preserve"> PCLOB Report, at 57</w:t>
      </w:r>
    </w:p>
  </w:footnote>
  <w:footnote w:id="77">
    <w:p w:rsidR="00D97301" w:rsidRDefault="00D97301">
      <w:pPr>
        <w:pStyle w:val="FootnoteText"/>
      </w:pPr>
      <w:r>
        <w:rPr>
          <w:rStyle w:val="FootnoteReference"/>
        </w:rPr>
        <w:footnoteRef/>
      </w:r>
      <w:r>
        <w:t xml:space="preserve"> </w:t>
      </w:r>
      <w:r w:rsidRPr="004F731A">
        <w:rPr>
          <w:i/>
        </w:rPr>
        <w:t>Id.</w:t>
      </w:r>
      <w:r>
        <w:t>, at 58-9</w:t>
      </w:r>
    </w:p>
  </w:footnote>
  <w:footnote w:id="78">
    <w:p w:rsidR="00D97301" w:rsidRDefault="00D97301" w:rsidP="0003148A">
      <w:pPr>
        <w:pStyle w:val="FootnoteText"/>
      </w:pPr>
      <w:r>
        <w:rPr>
          <w:rStyle w:val="FootnoteReference"/>
        </w:rPr>
        <w:footnoteRef/>
      </w:r>
      <w:r>
        <w:t xml:space="preserve"> PCLOB Report, at 60</w:t>
      </w:r>
    </w:p>
  </w:footnote>
  <w:footnote w:id="79">
    <w:p w:rsidR="00D97301" w:rsidRDefault="00D97301">
      <w:pPr>
        <w:pStyle w:val="FootnoteText"/>
      </w:pPr>
      <w:r>
        <w:rPr>
          <w:rStyle w:val="FootnoteReference"/>
        </w:rPr>
        <w:footnoteRef/>
      </w:r>
      <w:r>
        <w:t xml:space="preserve"> </w:t>
      </w:r>
      <w:r w:rsidRPr="004F731A">
        <w:rPr>
          <w:i/>
        </w:rPr>
        <w:t>Id.</w:t>
      </w:r>
      <w:r>
        <w:t>, at 61</w:t>
      </w:r>
    </w:p>
  </w:footnote>
  <w:footnote w:id="80">
    <w:p w:rsidR="00D97301" w:rsidRDefault="00D97301">
      <w:pPr>
        <w:pStyle w:val="FootnoteText"/>
      </w:pPr>
      <w:r>
        <w:rPr>
          <w:rStyle w:val="FootnoteReference"/>
        </w:rPr>
        <w:footnoteRef/>
      </w:r>
      <w:r>
        <w:t xml:space="preserve"> PCLOB Report, at 62</w:t>
      </w:r>
    </w:p>
  </w:footnote>
  <w:footnote w:id="81">
    <w:p w:rsidR="00D97301" w:rsidRDefault="00D97301">
      <w:pPr>
        <w:pStyle w:val="FootnoteText"/>
      </w:pPr>
      <w:r>
        <w:rPr>
          <w:rStyle w:val="FootnoteReference"/>
        </w:rPr>
        <w:footnoteRef/>
      </w:r>
      <w:r>
        <w:t xml:space="preserve"> </w:t>
      </w:r>
      <w:r w:rsidRPr="004F731A">
        <w:rPr>
          <w:i/>
        </w:rPr>
        <w:t>Id.</w:t>
      </w:r>
      <w:r>
        <w:t>, at 63</w:t>
      </w:r>
    </w:p>
  </w:footnote>
  <w:footnote w:id="82">
    <w:p w:rsidR="00D97301" w:rsidRDefault="00D97301">
      <w:pPr>
        <w:pStyle w:val="FootnoteText"/>
      </w:pPr>
      <w:r>
        <w:rPr>
          <w:rStyle w:val="FootnoteReference"/>
        </w:rPr>
        <w:footnoteRef/>
      </w:r>
      <w:r>
        <w:t xml:space="preserve"> </w:t>
      </w:r>
      <w:r w:rsidRPr="004F731A">
        <w:rPr>
          <w:i/>
        </w:rPr>
        <w:t>Id.</w:t>
      </w:r>
      <w:r>
        <w:t>, at 81</w:t>
      </w:r>
    </w:p>
  </w:footnote>
  <w:footnote w:id="83">
    <w:p w:rsidR="00D97301" w:rsidRDefault="00D97301">
      <w:pPr>
        <w:pStyle w:val="FootnoteText"/>
      </w:pPr>
      <w:r>
        <w:rPr>
          <w:rStyle w:val="FootnoteReference"/>
        </w:rPr>
        <w:footnoteRef/>
      </w:r>
      <w:r>
        <w:t xml:space="preserve"> Obama Administration White Paper, at 16</w:t>
      </w:r>
    </w:p>
  </w:footnote>
  <w:footnote w:id="84">
    <w:p w:rsidR="00D97301" w:rsidRDefault="00D97301">
      <w:pPr>
        <w:pStyle w:val="FootnoteText"/>
      </w:pPr>
      <w:r>
        <w:rPr>
          <w:rStyle w:val="FootnoteReference"/>
        </w:rPr>
        <w:footnoteRef/>
      </w:r>
      <w:r>
        <w:t xml:space="preserve"> PCLOB report, at 82</w:t>
      </w:r>
    </w:p>
  </w:footnote>
  <w:footnote w:id="85">
    <w:p w:rsidR="00D97301" w:rsidRDefault="00D97301">
      <w:pPr>
        <w:pStyle w:val="FootnoteText"/>
      </w:pPr>
      <w:r>
        <w:rPr>
          <w:rStyle w:val="FootnoteReference"/>
        </w:rPr>
        <w:footnoteRef/>
      </w:r>
      <w:r>
        <w:t xml:space="preserve"> </w:t>
      </w:r>
      <w:r w:rsidRPr="004F731A">
        <w:rPr>
          <w:i/>
        </w:rPr>
        <w:t>Id.</w:t>
      </w:r>
      <w:r>
        <w:t>, at 83</w:t>
      </w:r>
    </w:p>
  </w:footnote>
  <w:footnote w:id="86">
    <w:p w:rsidR="00D97301" w:rsidRDefault="00D97301">
      <w:pPr>
        <w:pStyle w:val="FootnoteText"/>
      </w:pPr>
      <w:r>
        <w:rPr>
          <w:rStyle w:val="FootnoteReference"/>
        </w:rPr>
        <w:footnoteRef/>
      </w:r>
      <w:r>
        <w:t xml:space="preserve"> </w:t>
      </w:r>
      <w:r w:rsidRPr="007C0F6D">
        <w:t>50 U.S. Code § 1842</w:t>
      </w:r>
      <w:r>
        <w:t>(a)(1)</w:t>
      </w:r>
    </w:p>
  </w:footnote>
  <w:footnote w:id="87">
    <w:p w:rsidR="00D97301" w:rsidRDefault="00D97301">
      <w:pPr>
        <w:pStyle w:val="FootnoteText"/>
      </w:pPr>
      <w:r>
        <w:rPr>
          <w:rStyle w:val="FootnoteReference"/>
        </w:rPr>
        <w:footnoteRef/>
      </w:r>
      <w:r>
        <w:t xml:space="preserve"> </w:t>
      </w:r>
      <w:r w:rsidRPr="00172575">
        <w:t>50 U.S. Code § 1842</w:t>
      </w:r>
      <w:r>
        <w:t>(f) and (g)</w:t>
      </w:r>
    </w:p>
  </w:footnote>
  <w:footnote w:id="88">
    <w:p w:rsidR="00D97301" w:rsidRDefault="00D97301">
      <w:pPr>
        <w:pStyle w:val="FootnoteText"/>
      </w:pPr>
      <w:r>
        <w:rPr>
          <w:rStyle w:val="FootnoteReference"/>
        </w:rPr>
        <w:footnoteRef/>
      </w:r>
      <w:r>
        <w:t xml:space="preserve"> PCLOB report, at 86</w:t>
      </w:r>
    </w:p>
  </w:footnote>
  <w:footnote w:id="89">
    <w:p w:rsidR="00D97301" w:rsidRDefault="00D97301">
      <w:pPr>
        <w:pStyle w:val="FootnoteText"/>
      </w:pPr>
      <w:r>
        <w:rPr>
          <w:rStyle w:val="FootnoteReference"/>
        </w:rPr>
        <w:footnoteRef/>
      </w:r>
      <w:r>
        <w:t xml:space="preserve"> PCLOB report, at 88</w:t>
      </w:r>
    </w:p>
  </w:footnote>
  <w:footnote w:id="90">
    <w:p w:rsidR="00D97301" w:rsidRDefault="00D97301">
      <w:pPr>
        <w:pStyle w:val="FootnoteText"/>
      </w:pPr>
      <w:r>
        <w:rPr>
          <w:rStyle w:val="FootnoteReference"/>
        </w:rPr>
        <w:footnoteRef/>
      </w:r>
      <w:r>
        <w:t xml:space="preserve"> 50 U.S. Code § 1861(b)(2)(B) </w:t>
      </w:r>
      <w:r>
        <w:rPr>
          <w:rStyle w:val="ptext-"/>
        </w:rPr>
        <w:t>(emphasis added)</w:t>
      </w:r>
    </w:p>
  </w:footnote>
  <w:footnote w:id="91">
    <w:p w:rsidR="00D97301" w:rsidRDefault="00D97301">
      <w:pPr>
        <w:pStyle w:val="FootnoteText"/>
      </w:pPr>
      <w:r>
        <w:rPr>
          <w:rStyle w:val="FootnoteReference"/>
        </w:rPr>
        <w:footnoteRef/>
      </w:r>
      <w:r>
        <w:t xml:space="preserve"> 50 U.S. Code § 1861(h)</w:t>
      </w:r>
    </w:p>
  </w:footnote>
  <w:footnote w:id="92">
    <w:p w:rsidR="00D97301" w:rsidRDefault="00D97301">
      <w:pPr>
        <w:pStyle w:val="FootnoteText"/>
      </w:pPr>
      <w:r>
        <w:rPr>
          <w:rStyle w:val="FootnoteReference"/>
        </w:rPr>
        <w:footnoteRef/>
      </w:r>
      <w:r>
        <w:t xml:space="preserve"> Obama Administration White Paper, at 4</w:t>
      </w:r>
    </w:p>
  </w:footnote>
  <w:footnote w:id="93">
    <w:p w:rsidR="00D97301" w:rsidRDefault="00D97301">
      <w:pPr>
        <w:pStyle w:val="FootnoteText"/>
      </w:pPr>
      <w:r>
        <w:rPr>
          <w:rStyle w:val="FootnoteReference"/>
        </w:rPr>
        <w:footnoteRef/>
      </w:r>
      <w:r>
        <w:t xml:space="preserve"> Senate Judiciary Committee Hearing, 29 January 2014, at 1:17:00, retrieved from </w:t>
      </w:r>
      <w:hyperlink r:id="rId10" w:history="1">
        <w:r w:rsidRPr="003512B2">
          <w:rPr>
            <w:rStyle w:val="Hyperlink"/>
          </w:rPr>
          <w:t>http://www.senate.gov/isvp/?comm=judiciary&amp;type=live&amp;filename=judiciary021214</w:t>
        </w:r>
      </w:hyperlink>
      <w:r>
        <w:t xml:space="preserve"> </w:t>
      </w:r>
    </w:p>
  </w:footnote>
  <w:footnote w:id="94">
    <w:p w:rsidR="00D97301" w:rsidRDefault="00D97301">
      <w:pPr>
        <w:pStyle w:val="FootnoteText"/>
      </w:pPr>
      <w:r>
        <w:rPr>
          <w:rStyle w:val="FootnoteReference"/>
        </w:rPr>
        <w:footnoteRef/>
      </w:r>
      <w:r>
        <w:t xml:space="preserve"> PCLOB report, at 91; citing 18</w:t>
      </w:r>
      <w:r w:rsidRPr="007C0F6D">
        <w:t xml:space="preserve"> U.S. Code §§ </w:t>
      </w:r>
      <w:r>
        <w:t>2702(a)(3), 2702(c), 2703(c)</w:t>
      </w:r>
    </w:p>
  </w:footnote>
  <w:footnote w:id="95">
    <w:p w:rsidR="00D97301" w:rsidRPr="006F3047" w:rsidRDefault="00D97301">
      <w:pPr>
        <w:pStyle w:val="FootnoteText"/>
      </w:pPr>
      <w:r>
        <w:rPr>
          <w:rStyle w:val="FootnoteReference"/>
        </w:rPr>
        <w:footnoteRef/>
      </w:r>
      <w:r>
        <w:t xml:space="preserve"> </w:t>
      </w:r>
      <w:r w:rsidRPr="004F731A">
        <w:rPr>
          <w:i/>
        </w:rPr>
        <w:t>Id.</w:t>
      </w:r>
      <w:r>
        <w:t xml:space="preserve">, at 92. The Board notes that Judge Pauley adopted the FISC’s reasoning in the </w:t>
      </w:r>
      <w:r>
        <w:rPr>
          <w:i/>
        </w:rPr>
        <w:t xml:space="preserve">ACLU </w:t>
      </w:r>
      <w:r>
        <w:t xml:space="preserve">decision. </w:t>
      </w:r>
    </w:p>
  </w:footnote>
  <w:footnote w:id="96">
    <w:p w:rsidR="00D97301" w:rsidRDefault="00D97301">
      <w:pPr>
        <w:pStyle w:val="FootnoteText"/>
      </w:pPr>
      <w:r>
        <w:rPr>
          <w:rStyle w:val="FootnoteReference"/>
        </w:rPr>
        <w:footnoteRef/>
      </w:r>
      <w:r>
        <w:t xml:space="preserve"> </w:t>
      </w:r>
      <w:r w:rsidRPr="004F731A">
        <w:rPr>
          <w:i/>
        </w:rPr>
        <w:t>Id.</w:t>
      </w:r>
      <w:r>
        <w:t>, at 93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6C6F"/>
    <w:multiLevelType w:val="hybridMultilevel"/>
    <w:tmpl w:val="000E850E"/>
    <w:lvl w:ilvl="0" w:tplc="3E747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D3"/>
    <w:rsid w:val="00000F13"/>
    <w:rsid w:val="00001736"/>
    <w:rsid w:val="00002077"/>
    <w:rsid w:val="0000387C"/>
    <w:rsid w:val="0000476D"/>
    <w:rsid w:val="0000488E"/>
    <w:rsid w:val="00007CED"/>
    <w:rsid w:val="00011FE5"/>
    <w:rsid w:val="000235ED"/>
    <w:rsid w:val="000240F8"/>
    <w:rsid w:val="00025485"/>
    <w:rsid w:val="00026587"/>
    <w:rsid w:val="00026A82"/>
    <w:rsid w:val="0003148A"/>
    <w:rsid w:val="00032428"/>
    <w:rsid w:val="0003384B"/>
    <w:rsid w:val="000352CA"/>
    <w:rsid w:val="000368BC"/>
    <w:rsid w:val="000375CC"/>
    <w:rsid w:val="00037BBF"/>
    <w:rsid w:val="000408B0"/>
    <w:rsid w:val="00041452"/>
    <w:rsid w:val="0004166F"/>
    <w:rsid w:val="00043AAD"/>
    <w:rsid w:val="00044626"/>
    <w:rsid w:val="000453CE"/>
    <w:rsid w:val="000464B3"/>
    <w:rsid w:val="00050B80"/>
    <w:rsid w:val="00051D16"/>
    <w:rsid w:val="000527AF"/>
    <w:rsid w:val="0005365E"/>
    <w:rsid w:val="00054723"/>
    <w:rsid w:val="000551A4"/>
    <w:rsid w:val="00055B5D"/>
    <w:rsid w:val="00056B1E"/>
    <w:rsid w:val="0005705C"/>
    <w:rsid w:val="00060110"/>
    <w:rsid w:val="00060B44"/>
    <w:rsid w:val="00060E6C"/>
    <w:rsid w:val="0006107A"/>
    <w:rsid w:val="0006110E"/>
    <w:rsid w:val="00061C55"/>
    <w:rsid w:val="0006215C"/>
    <w:rsid w:val="000626BB"/>
    <w:rsid w:val="00062B28"/>
    <w:rsid w:val="00062CA8"/>
    <w:rsid w:val="000636F3"/>
    <w:rsid w:val="00063BA3"/>
    <w:rsid w:val="00065D93"/>
    <w:rsid w:val="00066DED"/>
    <w:rsid w:val="00067E28"/>
    <w:rsid w:val="000737BE"/>
    <w:rsid w:val="0007403D"/>
    <w:rsid w:val="0007447D"/>
    <w:rsid w:val="00074889"/>
    <w:rsid w:val="00075506"/>
    <w:rsid w:val="00075A87"/>
    <w:rsid w:val="00076368"/>
    <w:rsid w:val="00076F6A"/>
    <w:rsid w:val="00081F30"/>
    <w:rsid w:val="00084FCB"/>
    <w:rsid w:val="0009168C"/>
    <w:rsid w:val="00092EE8"/>
    <w:rsid w:val="00095D2B"/>
    <w:rsid w:val="000A048F"/>
    <w:rsid w:val="000A08B0"/>
    <w:rsid w:val="000A3A29"/>
    <w:rsid w:val="000A3C6B"/>
    <w:rsid w:val="000A4311"/>
    <w:rsid w:val="000A7F4A"/>
    <w:rsid w:val="000B1824"/>
    <w:rsid w:val="000B1840"/>
    <w:rsid w:val="000B484B"/>
    <w:rsid w:val="000B4AF0"/>
    <w:rsid w:val="000B5332"/>
    <w:rsid w:val="000C0CE9"/>
    <w:rsid w:val="000C2948"/>
    <w:rsid w:val="000C4884"/>
    <w:rsid w:val="000C4EA6"/>
    <w:rsid w:val="000C59F0"/>
    <w:rsid w:val="000D09F0"/>
    <w:rsid w:val="000D11F7"/>
    <w:rsid w:val="000D191B"/>
    <w:rsid w:val="000D2F72"/>
    <w:rsid w:val="000D39CF"/>
    <w:rsid w:val="000D5523"/>
    <w:rsid w:val="000D79FB"/>
    <w:rsid w:val="000E1DC9"/>
    <w:rsid w:val="000E2041"/>
    <w:rsid w:val="000E287E"/>
    <w:rsid w:val="000E2DDA"/>
    <w:rsid w:val="000E6FD5"/>
    <w:rsid w:val="000F1FF9"/>
    <w:rsid w:val="000F3715"/>
    <w:rsid w:val="000F669E"/>
    <w:rsid w:val="001053A3"/>
    <w:rsid w:val="0010631D"/>
    <w:rsid w:val="00107B5B"/>
    <w:rsid w:val="00110CBF"/>
    <w:rsid w:val="001114CD"/>
    <w:rsid w:val="001116F6"/>
    <w:rsid w:val="0011550E"/>
    <w:rsid w:val="00115EBB"/>
    <w:rsid w:val="001214CD"/>
    <w:rsid w:val="001273A9"/>
    <w:rsid w:val="00127D67"/>
    <w:rsid w:val="001304C9"/>
    <w:rsid w:val="00130922"/>
    <w:rsid w:val="00132451"/>
    <w:rsid w:val="00133DB4"/>
    <w:rsid w:val="00134E63"/>
    <w:rsid w:val="001365B8"/>
    <w:rsid w:val="001375EC"/>
    <w:rsid w:val="0014114E"/>
    <w:rsid w:val="00141BB3"/>
    <w:rsid w:val="00142342"/>
    <w:rsid w:val="00147D92"/>
    <w:rsid w:val="00147EE7"/>
    <w:rsid w:val="001536A4"/>
    <w:rsid w:val="001570C7"/>
    <w:rsid w:val="00157B46"/>
    <w:rsid w:val="00160108"/>
    <w:rsid w:val="001604F5"/>
    <w:rsid w:val="00160C26"/>
    <w:rsid w:val="00162DB9"/>
    <w:rsid w:val="0016365B"/>
    <w:rsid w:val="001654D1"/>
    <w:rsid w:val="00165F5B"/>
    <w:rsid w:val="00166F00"/>
    <w:rsid w:val="0016773F"/>
    <w:rsid w:val="00167FF1"/>
    <w:rsid w:val="001701C4"/>
    <w:rsid w:val="0017070D"/>
    <w:rsid w:val="001710A4"/>
    <w:rsid w:val="0017215C"/>
    <w:rsid w:val="00172263"/>
    <w:rsid w:val="00172575"/>
    <w:rsid w:val="00172686"/>
    <w:rsid w:val="00173536"/>
    <w:rsid w:val="00175548"/>
    <w:rsid w:val="001775BF"/>
    <w:rsid w:val="001809ED"/>
    <w:rsid w:val="001828A3"/>
    <w:rsid w:val="00185BF1"/>
    <w:rsid w:val="00186AB0"/>
    <w:rsid w:val="00186DA9"/>
    <w:rsid w:val="00187DD5"/>
    <w:rsid w:val="0019485D"/>
    <w:rsid w:val="001A0445"/>
    <w:rsid w:val="001A0813"/>
    <w:rsid w:val="001A0B53"/>
    <w:rsid w:val="001A3085"/>
    <w:rsid w:val="001A708C"/>
    <w:rsid w:val="001A79E0"/>
    <w:rsid w:val="001B3664"/>
    <w:rsid w:val="001C18E3"/>
    <w:rsid w:val="001C55D8"/>
    <w:rsid w:val="001C64B9"/>
    <w:rsid w:val="001D2207"/>
    <w:rsid w:val="001D320A"/>
    <w:rsid w:val="001D4A90"/>
    <w:rsid w:val="001D6E2A"/>
    <w:rsid w:val="001D6FCF"/>
    <w:rsid w:val="001D7C4E"/>
    <w:rsid w:val="001E67E2"/>
    <w:rsid w:val="001F0532"/>
    <w:rsid w:val="001F0EE0"/>
    <w:rsid w:val="001F4E80"/>
    <w:rsid w:val="001F5B1A"/>
    <w:rsid w:val="001F7D24"/>
    <w:rsid w:val="00204450"/>
    <w:rsid w:val="002061D1"/>
    <w:rsid w:val="00207256"/>
    <w:rsid w:val="00207B81"/>
    <w:rsid w:val="00210CD2"/>
    <w:rsid w:val="00211360"/>
    <w:rsid w:val="00211715"/>
    <w:rsid w:val="00213DB1"/>
    <w:rsid w:val="00215CC8"/>
    <w:rsid w:val="0021700C"/>
    <w:rsid w:val="00217B50"/>
    <w:rsid w:val="002232CE"/>
    <w:rsid w:val="00230D02"/>
    <w:rsid w:val="002337CD"/>
    <w:rsid w:val="00233A15"/>
    <w:rsid w:val="00234F9F"/>
    <w:rsid w:val="0023600C"/>
    <w:rsid w:val="00236655"/>
    <w:rsid w:val="0023708A"/>
    <w:rsid w:val="00237B47"/>
    <w:rsid w:val="00237BBB"/>
    <w:rsid w:val="00241EA6"/>
    <w:rsid w:val="00241EF3"/>
    <w:rsid w:val="00242377"/>
    <w:rsid w:val="002449F9"/>
    <w:rsid w:val="00246CBC"/>
    <w:rsid w:val="00247B3A"/>
    <w:rsid w:val="002525E4"/>
    <w:rsid w:val="002529C6"/>
    <w:rsid w:val="002532B7"/>
    <w:rsid w:val="00253C1A"/>
    <w:rsid w:val="002571B3"/>
    <w:rsid w:val="002571BF"/>
    <w:rsid w:val="0026103B"/>
    <w:rsid w:val="0026335C"/>
    <w:rsid w:val="00264230"/>
    <w:rsid w:val="00266172"/>
    <w:rsid w:val="00266953"/>
    <w:rsid w:val="00270FD1"/>
    <w:rsid w:val="002715B4"/>
    <w:rsid w:val="002719BE"/>
    <w:rsid w:val="00271BE1"/>
    <w:rsid w:val="00271FC3"/>
    <w:rsid w:val="0027502B"/>
    <w:rsid w:val="002751D4"/>
    <w:rsid w:val="00277D67"/>
    <w:rsid w:val="00282181"/>
    <w:rsid w:val="00292416"/>
    <w:rsid w:val="002929D1"/>
    <w:rsid w:val="002932C8"/>
    <w:rsid w:val="00294D5F"/>
    <w:rsid w:val="00294ED8"/>
    <w:rsid w:val="00295ED9"/>
    <w:rsid w:val="002966A5"/>
    <w:rsid w:val="002A2221"/>
    <w:rsid w:val="002A2270"/>
    <w:rsid w:val="002A348E"/>
    <w:rsid w:val="002A374D"/>
    <w:rsid w:val="002A5218"/>
    <w:rsid w:val="002B170A"/>
    <w:rsid w:val="002B2D43"/>
    <w:rsid w:val="002B41E4"/>
    <w:rsid w:val="002B7D1D"/>
    <w:rsid w:val="002C18C1"/>
    <w:rsid w:val="002C29B3"/>
    <w:rsid w:val="002D0C26"/>
    <w:rsid w:val="002D3DEB"/>
    <w:rsid w:val="002D5BFC"/>
    <w:rsid w:val="002D5FFB"/>
    <w:rsid w:val="002D73F8"/>
    <w:rsid w:val="002E0C9C"/>
    <w:rsid w:val="002E142E"/>
    <w:rsid w:val="002E23E0"/>
    <w:rsid w:val="002E358E"/>
    <w:rsid w:val="002E39CE"/>
    <w:rsid w:val="002E519C"/>
    <w:rsid w:val="002E5588"/>
    <w:rsid w:val="002E65E6"/>
    <w:rsid w:val="002E7838"/>
    <w:rsid w:val="0030016C"/>
    <w:rsid w:val="00301070"/>
    <w:rsid w:val="00303B92"/>
    <w:rsid w:val="00303E57"/>
    <w:rsid w:val="003101DE"/>
    <w:rsid w:val="00312297"/>
    <w:rsid w:val="00312669"/>
    <w:rsid w:val="003133E8"/>
    <w:rsid w:val="0031436B"/>
    <w:rsid w:val="003209A0"/>
    <w:rsid w:val="00321CAD"/>
    <w:rsid w:val="00322259"/>
    <w:rsid w:val="00323117"/>
    <w:rsid w:val="00327B2B"/>
    <w:rsid w:val="00327E11"/>
    <w:rsid w:val="003300B4"/>
    <w:rsid w:val="003328B3"/>
    <w:rsid w:val="003345CC"/>
    <w:rsid w:val="00334E06"/>
    <w:rsid w:val="003370E7"/>
    <w:rsid w:val="00337B25"/>
    <w:rsid w:val="00343910"/>
    <w:rsid w:val="003446D1"/>
    <w:rsid w:val="00345B8C"/>
    <w:rsid w:val="003470D6"/>
    <w:rsid w:val="003479CA"/>
    <w:rsid w:val="003509E3"/>
    <w:rsid w:val="00350D8B"/>
    <w:rsid w:val="003513B8"/>
    <w:rsid w:val="003565F3"/>
    <w:rsid w:val="00357C80"/>
    <w:rsid w:val="00360AE4"/>
    <w:rsid w:val="00360C50"/>
    <w:rsid w:val="00361EF4"/>
    <w:rsid w:val="0036385B"/>
    <w:rsid w:val="00365AC3"/>
    <w:rsid w:val="0036615C"/>
    <w:rsid w:val="00366F46"/>
    <w:rsid w:val="0036731E"/>
    <w:rsid w:val="00367B50"/>
    <w:rsid w:val="003701C1"/>
    <w:rsid w:val="00372127"/>
    <w:rsid w:val="00372572"/>
    <w:rsid w:val="00372CEA"/>
    <w:rsid w:val="003733EF"/>
    <w:rsid w:val="003755F1"/>
    <w:rsid w:val="00375D0A"/>
    <w:rsid w:val="00376FFA"/>
    <w:rsid w:val="00377DD9"/>
    <w:rsid w:val="00380F1E"/>
    <w:rsid w:val="0038518B"/>
    <w:rsid w:val="003865E7"/>
    <w:rsid w:val="00386FA5"/>
    <w:rsid w:val="00390497"/>
    <w:rsid w:val="00390667"/>
    <w:rsid w:val="0039166C"/>
    <w:rsid w:val="00393EB7"/>
    <w:rsid w:val="0039561A"/>
    <w:rsid w:val="0039581A"/>
    <w:rsid w:val="0039595F"/>
    <w:rsid w:val="00396F85"/>
    <w:rsid w:val="00397A0C"/>
    <w:rsid w:val="003A093D"/>
    <w:rsid w:val="003A1EA6"/>
    <w:rsid w:val="003A25EB"/>
    <w:rsid w:val="003A51E7"/>
    <w:rsid w:val="003A58C5"/>
    <w:rsid w:val="003B2BD7"/>
    <w:rsid w:val="003B4308"/>
    <w:rsid w:val="003B6B96"/>
    <w:rsid w:val="003B7743"/>
    <w:rsid w:val="003B7D33"/>
    <w:rsid w:val="003C0317"/>
    <w:rsid w:val="003C0732"/>
    <w:rsid w:val="003C215D"/>
    <w:rsid w:val="003C3F32"/>
    <w:rsid w:val="003C443F"/>
    <w:rsid w:val="003C5163"/>
    <w:rsid w:val="003C5414"/>
    <w:rsid w:val="003C7050"/>
    <w:rsid w:val="003C74AF"/>
    <w:rsid w:val="003D0013"/>
    <w:rsid w:val="003D1BAB"/>
    <w:rsid w:val="003D21C1"/>
    <w:rsid w:val="003D25C7"/>
    <w:rsid w:val="003D2A7D"/>
    <w:rsid w:val="003D3013"/>
    <w:rsid w:val="003D65DC"/>
    <w:rsid w:val="003D7157"/>
    <w:rsid w:val="003E19A3"/>
    <w:rsid w:val="003E39B7"/>
    <w:rsid w:val="003F2ABC"/>
    <w:rsid w:val="003F441D"/>
    <w:rsid w:val="003F6CC3"/>
    <w:rsid w:val="003F75D5"/>
    <w:rsid w:val="004004A3"/>
    <w:rsid w:val="00400C08"/>
    <w:rsid w:val="004019BC"/>
    <w:rsid w:val="00406375"/>
    <w:rsid w:val="004065AF"/>
    <w:rsid w:val="0040671D"/>
    <w:rsid w:val="00407B16"/>
    <w:rsid w:val="00415680"/>
    <w:rsid w:val="0041605A"/>
    <w:rsid w:val="00417812"/>
    <w:rsid w:val="00420E4D"/>
    <w:rsid w:val="0042238D"/>
    <w:rsid w:val="0042475A"/>
    <w:rsid w:val="00425FE0"/>
    <w:rsid w:val="00430458"/>
    <w:rsid w:val="004328D3"/>
    <w:rsid w:val="004416BD"/>
    <w:rsid w:val="0044183A"/>
    <w:rsid w:val="00442588"/>
    <w:rsid w:val="004433C2"/>
    <w:rsid w:val="00444BEE"/>
    <w:rsid w:val="0044530F"/>
    <w:rsid w:val="00445C31"/>
    <w:rsid w:val="00446F34"/>
    <w:rsid w:val="00447224"/>
    <w:rsid w:val="00450471"/>
    <w:rsid w:val="004523A8"/>
    <w:rsid w:val="00454157"/>
    <w:rsid w:val="00454DEC"/>
    <w:rsid w:val="0045588E"/>
    <w:rsid w:val="004602E2"/>
    <w:rsid w:val="004621F1"/>
    <w:rsid w:val="00463A2E"/>
    <w:rsid w:val="00466D30"/>
    <w:rsid w:val="00467384"/>
    <w:rsid w:val="004702C9"/>
    <w:rsid w:val="0047536D"/>
    <w:rsid w:val="004768B4"/>
    <w:rsid w:val="004768ED"/>
    <w:rsid w:val="00482BFB"/>
    <w:rsid w:val="00485262"/>
    <w:rsid w:val="00485302"/>
    <w:rsid w:val="00490834"/>
    <w:rsid w:val="00494898"/>
    <w:rsid w:val="004972A0"/>
    <w:rsid w:val="004975BE"/>
    <w:rsid w:val="004A05BC"/>
    <w:rsid w:val="004A36A2"/>
    <w:rsid w:val="004A3D4A"/>
    <w:rsid w:val="004A5631"/>
    <w:rsid w:val="004A7D54"/>
    <w:rsid w:val="004B1602"/>
    <w:rsid w:val="004B1AF9"/>
    <w:rsid w:val="004B2DB5"/>
    <w:rsid w:val="004B2FD6"/>
    <w:rsid w:val="004B3FE4"/>
    <w:rsid w:val="004B4792"/>
    <w:rsid w:val="004B4EBB"/>
    <w:rsid w:val="004B52DE"/>
    <w:rsid w:val="004B5B22"/>
    <w:rsid w:val="004B7066"/>
    <w:rsid w:val="004B74F0"/>
    <w:rsid w:val="004C02D6"/>
    <w:rsid w:val="004C0CE4"/>
    <w:rsid w:val="004C1449"/>
    <w:rsid w:val="004C15BF"/>
    <w:rsid w:val="004C702A"/>
    <w:rsid w:val="004D1E6F"/>
    <w:rsid w:val="004D2089"/>
    <w:rsid w:val="004D391D"/>
    <w:rsid w:val="004D4185"/>
    <w:rsid w:val="004D7322"/>
    <w:rsid w:val="004E035A"/>
    <w:rsid w:val="004E0702"/>
    <w:rsid w:val="004E4878"/>
    <w:rsid w:val="004E6A76"/>
    <w:rsid w:val="004F0667"/>
    <w:rsid w:val="004F0997"/>
    <w:rsid w:val="004F0ED6"/>
    <w:rsid w:val="004F1A44"/>
    <w:rsid w:val="004F20B1"/>
    <w:rsid w:val="004F40C8"/>
    <w:rsid w:val="004F70A9"/>
    <w:rsid w:val="004F731A"/>
    <w:rsid w:val="004F7877"/>
    <w:rsid w:val="00503E2E"/>
    <w:rsid w:val="0050432F"/>
    <w:rsid w:val="00505B0E"/>
    <w:rsid w:val="00505DC9"/>
    <w:rsid w:val="00506FB8"/>
    <w:rsid w:val="0050714A"/>
    <w:rsid w:val="005074D6"/>
    <w:rsid w:val="00510E11"/>
    <w:rsid w:val="00512022"/>
    <w:rsid w:val="005128F0"/>
    <w:rsid w:val="00514A2F"/>
    <w:rsid w:val="005160B4"/>
    <w:rsid w:val="00517906"/>
    <w:rsid w:val="0052015E"/>
    <w:rsid w:val="005230A1"/>
    <w:rsid w:val="0052358B"/>
    <w:rsid w:val="00523828"/>
    <w:rsid w:val="005274DC"/>
    <w:rsid w:val="00527885"/>
    <w:rsid w:val="005321D1"/>
    <w:rsid w:val="0053581D"/>
    <w:rsid w:val="00535CE3"/>
    <w:rsid w:val="005361E8"/>
    <w:rsid w:val="00540F3C"/>
    <w:rsid w:val="005410B2"/>
    <w:rsid w:val="0054236F"/>
    <w:rsid w:val="00550321"/>
    <w:rsid w:val="005522E7"/>
    <w:rsid w:val="0055765A"/>
    <w:rsid w:val="0056297D"/>
    <w:rsid w:val="00562AA3"/>
    <w:rsid w:val="00562AC0"/>
    <w:rsid w:val="005632B0"/>
    <w:rsid w:val="00563908"/>
    <w:rsid w:val="00564E45"/>
    <w:rsid w:val="00566844"/>
    <w:rsid w:val="00566DF0"/>
    <w:rsid w:val="00566EFF"/>
    <w:rsid w:val="00567354"/>
    <w:rsid w:val="00582A92"/>
    <w:rsid w:val="00583D86"/>
    <w:rsid w:val="00583ECA"/>
    <w:rsid w:val="00584076"/>
    <w:rsid w:val="00585522"/>
    <w:rsid w:val="005857B0"/>
    <w:rsid w:val="00590A05"/>
    <w:rsid w:val="00596E5F"/>
    <w:rsid w:val="005A0068"/>
    <w:rsid w:val="005A012B"/>
    <w:rsid w:val="005A1434"/>
    <w:rsid w:val="005A16B5"/>
    <w:rsid w:val="005A5FA5"/>
    <w:rsid w:val="005A6235"/>
    <w:rsid w:val="005A68F7"/>
    <w:rsid w:val="005A7686"/>
    <w:rsid w:val="005A7E86"/>
    <w:rsid w:val="005B14B8"/>
    <w:rsid w:val="005B20C3"/>
    <w:rsid w:val="005B2441"/>
    <w:rsid w:val="005B4346"/>
    <w:rsid w:val="005B5076"/>
    <w:rsid w:val="005B7510"/>
    <w:rsid w:val="005C252D"/>
    <w:rsid w:val="005C3CC1"/>
    <w:rsid w:val="005C7A01"/>
    <w:rsid w:val="005D2857"/>
    <w:rsid w:val="005D4F01"/>
    <w:rsid w:val="005D4F4A"/>
    <w:rsid w:val="005D54EF"/>
    <w:rsid w:val="005E0DFA"/>
    <w:rsid w:val="005E27A8"/>
    <w:rsid w:val="005E2D47"/>
    <w:rsid w:val="005E2F6A"/>
    <w:rsid w:val="005E51AA"/>
    <w:rsid w:val="005E6516"/>
    <w:rsid w:val="005E7579"/>
    <w:rsid w:val="005F07A6"/>
    <w:rsid w:val="005F0E4F"/>
    <w:rsid w:val="005F774C"/>
    <w:rsid w:val="00606AC1"/>
    <w:rsid w:val="00610711"/>
    <w:rsid w:val="00610F8C"/>
    <w:rsid w:val="006116E5"/>
    <w:rsid w:val="006138D7"/>
    <w:rsid w:val="00614E6C"/>
    <w:rsid w:val="00623F36"/>
    <w:rsid w:val="00624248"/>
    <w:rsid w:val="00627F4E"/>
    <w:rsid w:val="006300BC"/>
    <w:rsid w:val="00632F8B"/>
    <w:rsid w:val="00634EC3"/>
    <w:rsid w:val="00636040"/>
    <w:rsid w:val="006376F7"/>
    <w:rsid w:val="00640CA8"/>
    <w:rsid w:val="006413C0"/>
    <w:rsid w:val="006468F2"/>
    <w:rsid w:val="00652FFB"/>
    <w:rsid w:val="00653749"/>
    <w:rsid w:val="00655949"/>
    <w:rsid w:val="006579EE"/>
    <w:rsid w:val="00660146"/>
    <w:rsid w:val="00662A85"/>
    <w:rsid w:val="006635EF"/>
    <w:rsid w:val="00666EB3"/>
    <w:rsid w:val="00676767"/>
    <w:rsid w:val="0067746B"/>
    <w:rsid w:val="006824D8"/>
    <w:rsid w:val="00683406"/>
    <w:rsid w:val="00684237"/>
    <w:rsid w:val="00690F97"/>
    <w:rsid w:val="0069155E"/>
    <w:rsid w:val="00692797"/>
    <w:rsid w:val="00696666"/>
    <w:rsid w:val="00697196"/>
    <w:rsid w:val="00697EBE"/>
    <w:rsid w:val="006A1725"/>
    <w:rsid w:val="006A19A1"/>
    <w:rsid w:val="006B110E"/>
    <w:rsid w:val="006B2A0F"/>
    <w:rsid w:val="006B30FA"/>
    <w:rsid w:val="006B72CE"/>
    <w:rsid w:val="006C02FF"/>
    <w:rsid w:val="006C0D65"/>
    <w:rsid w:val="006C1D47"/>
    <w:rsid w:val="006C3885"/>
    <w:rsid w:val="006C401B"/>
    <w:rsid w:val="006C7160"/>
    <w:rsid w:val="006D0936"/>
    <w:rsid w:val="006D4617"/>
    <w:rsid w:val="006D57FA"/>
    <w:rsid w:val="006D5F86"/>
    <w:rsid w:val="006E0300"/>
    <w:rsid w:val="006E0674"/>
    <w:rsid w:val="006E145E"/>
    <w:rsid w:val="006E27BA"/>
    <w:rsid w:val="006E2958"/>
    <w:rsid w:val="006E65BD"/>
    <w:rsid w:val="006F14C7"/>
    <w:rsid w:val="006F3047"/>
    <w:rsid w:val="006F32FD"/>
    <w:rsid w:val="006F360C"/>
    <w:rsid w:val="006F4E54"/>
    <w:rsid w:val="006F5B83"/>
    <w:rsid w:val="006F6C0A"/>
    <w:rsid w:val="00700BCE"/>
    <w:rsid w:val="00701F3B"/>
    <w:rsid w:val="00702FB7"/>
    <w:rsid w:val="00703F36"/>
    <w:rsid w:val="00706764"/>
    <w:rsid w:val="0071012B"/>
    <w:rsid w:val="00711276"/>
    <w:rsid w:val="00711D3E"/>
    <w:rsid w:val="00715E48"/>
    <w:rsid w:val="0071691C"/>
    <w:rsid w:val="00716E49"/>
    <w:rsid w:val="0071762E"/>
    <w:rsid w:val="00720EDB"/>
    <w:rsid w:val="00721384"/>
    <w:rsid w:val="00723A44"/>
    <w:rsid w:val="00723A52"/>
    <w:rsid w:val="00731F8E"/>
    <w:rsid w:val="0073283A"/>
    <w:rsid w:val="0073701F"/>
    <w:rsid w:val="0074322C"/>
    <w:rsid w:val="007436D8"/>
    <w:rsid w:val="0074712F"/>
    <w:rsid w:val="00756415"/>
    <w:rsid w:val="00756E9C"/>
    <w:rsid w:val="00760215"/>
    <w:rsid w:val="00761FA6"/>
    <w:rsid w:val="00762086"/>
    <w:rsid w:val="00763781"/>
    <w:rsid w:val="00766DDB"/>
    <w:rsid w:val="00767144"/>
    <w:rsid w:val="0077090A"/>
    <w:rsid w:val="0077131C"/>
    <w:rsid w:val="00773ED5"/>
    <w:rsid w:val="00774C94"/>
    <w:rsid w:val="00775CDD"/>
    <w:rsid w:val="00776B49"/>
    <w:rsid w:val="00780A76"/>
    <w:rsid w:val="00780F79"/>
    <w:rsid w:val="007878D3"/>
    <w:rsid w:val="00792493"/>
    <w:rsid w:val="007956C9"/>
    <w:rsid w:val="00795FF0"/>
    <w:rsid w:val="007A2E3A"/>
    <w:rsid w:val="007B2668"/>
    <w:rsid w:val="007B2DA9"/>
    <w:rsid w:val="007B528C"/>
    <w:rsid w:val="007B5FD2"/>
    <w:rsid w:val="007B68D5"/>
    <w:rsid w:val="007C0F6D"/>
    <w:rsid w:val="007C315F"/>
    <w:rsid w:val="007C4C69"/>
    <w:rsid w:val="007C5CF6"/>
    <w:rsid w:val="007C6C32"/>
    <w:rsid w:val="007C73C1"/>
    <w:rsid w:val="007D09B6"/>
    <w:rsid w:val="007D254A"/>
    <w:rsid w:val="007D4975"/>
    <w:rsid w:val="007D7DF8"/>
    <w:rsid w:val="007E0B6E"/>
    <w:rsid w:val="007E2037"/>
    <w:rsid w:val="007E2885"/>
    <w:rsid w:val="007E6315"/>
    <w:rsid w:val="007F1BC7"/>
    <w:rsid w:val="007F33AF"/>
    <w:rsid w:val="007F5C1E"/>
    <w:rsid w:val="007F7041"/>
    <w:rsid w:val="007F74D9"/>
    <w:rsid w:val="007F74FA"/>
    <w:rsid w:val="007F77D7"/>
    <w:rsid w:val="00802505"/>
    <w:rsid w:val="00802935"/>
    <w:rsid w:val="00804542"/>
    <w:rsid w:val="00807911"/>
    <w:rsid w:val="00810562"/>
    <w:rsid w:val="00812616"/>
    <w:rsid w:val="00814E8A"/>
    <w:rsid w:val="00815076"/>
    <w:rsid w:val="00815B5B"/>
    <w:rsid w:val="00816759"/>
    <w:rsid w:val="00820B28"/>
    <w:rsid w:val="0082265F"/>
    <w:rsid w:val="00826556"/>
    <w:rsid w:val="008269A7"/>
    <w:rsid w:val="00827DD6"/>
    <w:rsid w:val="00831712"/>
    <w:rsid w:val="00831D76"/>
    <w:rsid w:val="00832EF8"/>
    <w:rsid w:val="00836A70"/>
    <w:rsid w:val="00837042"/>
    <w:rsid w:val="008401D3"/>
    <w:rsid w:val="008404BB"/>
    <w:rsid w:val="00840F03"/>
    <w:rsid w:val="00843AA5"/>
    <w:rsid w:val="00844423"/>
    <w:rsid w:val="008457D4"/>
    <w:rsid w:val="00845D46"/>
    <w:rsid w:val="008462D2"/>
    <w:rsid w:val="00846F68"/>
    <w:rsid w:val="00847305"/>
    <w:rsid w:val="00847DC8"/>
    <w:rsid w:val="008502E8"/>
    <w:rsid w:val="0085141A"/>
    <w:rsid w:val="00856DCB"/>
    <w:rsid w:val="00861B3F"/>
    <w:rsid w:val="00861F7C"/>
    <w:rsid w:val="00863CCB"/>
    <w:rsid w:val="00863EFB"/>
    <w:rsid w:val="00867130"/>
    <w:rsid w:val="00867447"/>
    <w:rsid w:val="008703FE"/>
    <w:rsid w:val="008742ED"/>
    <w:rsid w:val="00874307"/>
    <w:rsid w:val="008771EC"/>
    <w:rsid w:val="008774F0"/>
    <w:rsid w:val="00880362"/>
    <w:rsid w:val="00882FF2"/>
    <w:rsid w:val="008842C5"/>
    <w:rsid w:val="00884DC1"/>
    <w:rsid w:val="00885776"/>
    <w:rsid w:val="00885E5D"/>
    <w:rsid w:val="0088763A"/>
    <w:rsid w:val="0089041A"/>
    <w:rsid w:val="00892488"/>
    <w:rsid w:val="00892B88"/>
    <w:rsid w:val="00895A28"/>
    <w:rsid w:val="00896F32"/>
    <w:rsid w:val="008A0DB8"/>
    <w:rsid w:val="008A0F84"/>
    <w:rsid w:val="008A2234"/>
    <w:rsid w:val="008A291F"/>
    <w:rsid w:val="008B6BB3"/>
    <w:rsid w:val="008B74D6"/>
    <w:rsid w:val="008C267A"/>
    <w:rsid w:val="008C508D"/>
    <w:rsid w:val="008C69C7"/>
    <w:rsid w:val="008D1019"/>
    <w:rsid w:val="008D10F4"/>
    <w:rsid w:val="008D1EF4"/>
    <w:rsid w:val="008D5CD5"/>
    <w:rsid w:val="008D739A"/>
    <w:rsid w:val="008E0DCC"/>
    <w:rsid w:val="008E3D2E"/>
    <w:rsid w:val="008E5ABA"/>
    <w:rsid w:val="008E6C73"/>
    <w:rsid w:val="008E6D7A"/>
    <w:rsid w:val="008F3EC3"/>
    <w:rsid w:val="008F5D92"/>
    <w:rsid w:val="008F5DE3"/>
    <w:rsid w:val="009027BF"/>
    <w:rsid w:val="0090312C"/>
    <w:rsid w:val="009031B0"/>
    <w:rsid w:val="00903401"/>
    <w:rsid w:val="0090412D"/>
    <w:rsid w:val="00904E32"/>
    <w:rsid w:val="00905270"/>
    <w:rsid w:val="009078F5"/>
    <w:rsid w:val="00912B50"/>
    <w:rsid w:val="0091403A"/>
    <w:rsid w:val="00914098"/>
    <w:rsid w:val="009143C4"/>
    <w:rsid w:val="00916A5C"/>
    <w:rsid w:val="0092570A"/>
    <w:rsid w:val="00925E27"/>
    <w:rsid w:val="00931717"/>
    <w:rsid w:val="00933356"/>
    <w:rsid w:val="0093401A"/>
    <w:rsid w:val="00936CAE"/>
    <w:rsid w:val="00937642"/>
    <w:rsid w:val="0094174D"/>
    <w:rsid w:val="00941F09"/>
    <w:rsid w:val="00944EB1"/>
    <w:rsid w:val="00947897"/>
    <w:rsid w:val="009479D9"/>
    <w:rsid w:val="00951E96"/>
    <w:rsid w:val="00952FBE"/>
    <w:rsid w:val="00957EE5"/>
    <w:rsid w:val="00960473"/>
    <w:rsid w:val="00962BCF"/>
    <w:rsid w:val="0096425C"/>
    <w:rsid w:val="00965171"/>
    <w:rsid w:val="0096665E"/>
    <w:rsid w:val="00966B3E"/>
    <w:rsid w:val="00966F99"/>
    <w:rsid w:val="00971B1F"/>
    <w:rsid w:val="00972C4C"/>
    <w:rsid w:val="00973B82"/>
    <w:rsid w:val="0097430E"/>
    <w:rsid w:val="009743F7"/>
    <w:rsid w:val="00976220"/>
    <w:rsid w:val="0097649F"/>
    <w:rsid w:val="00976656"/>
    <w:rsid w:val="00977BD5"/>
    <w:rsid w:val="009805A8"/>
    <w:rsid w:val="009828A7"/>
    <w:rsid w:val="00984FE3"/>
    <w:rsid w:val="0098599E"/>
    <w:rsid w:val="00985ABD"/>
    <w:rsid w:val="0098741E"/>
    <w:rsid w:val="00987677"/>
    <w:rsid w:val="009905D4"/>
    <w:rsid w:val="009910C8"/>
    <w:rsid w:val="00991519"/>
    <w:rsid w:val="00992AA7"/>
    <w:rsid w:val="00992B41"/>
    <w:rsid w:val="00993ECD"/>
    <w:rsid w:val="009959B6"/>
    <w:rsid w:val="00996572"/>
    <w:rsid w:val="009A0D0B"/>
    <w:rsid w:val="009A11C0"/>
    <w:rsid w:val="009A1EA9"/>
    <w:rsid w:val="009A686A"/>
    <w:rsid w:val="009B32B5"/>
    <w:rsid w:val="009B4901"/>
    <w:rsid w:val="009C0B07"/>
    <w:rsid w:val="009C28BE"/>
    <w:rsid w:val="009C3FDC"/>
    <w:rsid w:val="009C56A3"/>
    <w:rsid w:val="009C5FCF"/>
    <w:rsid w:val="009D11EA"/>
    <w:rsid w:val="009D2463"/>
    <w:rsid w:val="009D27F1"/>
    <w:rsid w:val="009D360B"/>
    <w:rsid w:val="009D39BF"/>
    <w:rsid w:val="009D3E8C"/>
    <w:rsid w:val="009D49B5"/>
    <w:rsid w:val="009D5231"/>
    <w:rsid w:val="009D58AD"/>
    <w:rsid w:val="009D6458"/>
    <w:rsid w:val="009E022D"/>
    <w:rsid w:val="009E1A65"/>
    <w:rsid w:val="009E3D56"/>
    <w:rsid w:val="009E411D"/>
    <w:rsid w:val="009E41EC"/>
    <w:rsid w:val="009E65C4"/>
    <w:rsid w:val="009F0740"/>
    <w:rsid w:val="009F2F87"/>
    <w:rsid w:val="009F5875"/>
    <w:rsid w:val="009F59F1"/>
    <w:rsid w:val="009F63CB"/>
    <w:rsid w:val="009F6F58"/>
    <w:rsid w:val="009F7667"/>
    <w:rsid w:val="009F7B8C"/>
    <w:rsid w:val="00A04B5C"/>
    <w:rsid w:val="00A04D04"/>
    <w:rsid w:val="00A053D6"/>
    <w:rsid w:val="00A06E42"/>
    <w:rsid w:val="00A07666"/>
    <w:rsid w:val="00A10E83"/>
    <w:rsid w:val="00A11137"/>
    <w:rsid w:val="00A153A6"/>
    <w:rsid w:val="00A2087C"/>
    <w:rsid w:val="00A2094E"/>
    <w:rsid w:val="00A21AC9"/>
    <w:rsid w:val="00A22414"/>
    <w:rsid w:val="00A23B75"/>
    <w:rsid w:val="00A25091"/>
    <w:rsid w:val="00A26E47"/>
    <w:rsid w:val="00A3283A"/>
    <w:rsid w:val="00A35B91"/>
    <w:rsid w:val="00A3622E"/>
    <w:rsid w:val="00A40AF1"/>
    <w:rsid w:val="00A40B02"/>
    <w:rsid w:val="00A43200"/>
    <w:rsid w:val="00A439B7"/>
    <w:rsid w:val="00A45443"/>
    <w:rsid w:val="00A45D1B"/>
    <w:rsid w:val="00A51505"/>
    <w:rsid w:val="00A51C79"/>
    <w:rsid w:val="00A521F0"/>
    <w:rsid w:val="00A54507"/>
    <w:rsid w:val="00A5486B"/>
    <w:rsid w:val="00A647C4"/>
    <w:rsid w:val="00A65710"/>
    <w:rsid w:val="00A67271"/>
    <w:rsid w:val="00A7023E"/>
    <w:rsid w:val="00A71939"/>
    <w:rsid w:val="00A73D41"/>
    <w:rsid w:val="00A762EA"/>
    <w:rsid w:val="00A76368"/>
    <w:rsid w:val="00A76599"/>
    <w:rsid w:val="00A7760E"/>
    <w:rsid w:val="00A831E5"/>
    <w:rsid w:val="00A8505E"/>
    <w:rsid w:val="00A9121B"/>
    <w:rsid w:val="00A9145A"/>
    <w:rsid w:val="00A91765"/>
    <w:rsid w:val="00A93DF8"/>
    <w:rsid w:val="00A958AA"/>
    <w:rsid w:val="00A960CF"/>
    <w:rsid w:val="00A96A16"/>
    <w:rsid w:val="00A97098"/>
    <w:rsid w:val="00AA08E2"/>
    <w:rsid w:val="00AA10C5"/>
    <w:rsid w:val="00AA14D9"/>
    <w:rsid w:val="00AA1742"/>
    <w:rsid w:val="00AA24BC"/>
    <w:rsid w:val="00AA2CD2"/>
    <w:rsid w:val="00AA39AE"/>
    <w:rsid w:val="00AA5CB3"/>
    <w:rsid w:val="00AA7414"/>
    <w:rsid w:val="00AB1976"/>
    <w:rsid w:val="00AB2867"/>
    <w:rsid w:val="00AB46AF"/>
    <w:rsid w:val="00AB57F3"/>
    <w:rsid w:val="00AB707E"/>
    <w:rsid w:val="00AC04E0"/>
    <w:rsid w:val="00AC09A2"/>
    <w:rsid w:val="00AC231C"/>
    <w:rsid w:val="00AC3528"/>
    <w:rsid w:val="00AC59A7"/>
    <w:rsid w:val="00AC6424"/>
    <w:rsid w:val="00AC7250"/>
    <w:rsid w:val="00AC7B07"/>
    <w:rsid w:val="00AD1036"/>
    <w:rsid w:val="00AD54C7"/>
    <w:rsid w:val="00AD6A9F"/>
    <w:rsid w:val="00AD7353"/>
    <w:rsid w:val="00AD7FDD"/>
    <w:rsid w:val="00AE0685"/>
    <w:rsid w:val="00AE0BBD"/>
    <w:rsid w:val="00AE1F8B"/>
    <w:rsid w:val="00AE2B04"/>
    <w:rsid w:val="00AE475D"/>
    <w:rsid w:val="00AE77FE"/>
    <w:rsid w:val="00AF04A4"/>
    <w:rsid w:val="00AF1EB6"/>
    <w:rsid w:val="00AF222B"/>
    <w:rsid w:val="00AF4B7D"/>
    <w:rsid w:val="00B007A9"/>
    <w:rsid w:val="00B02480"/>
    <w:rsid w:val="00B044EE"/>
    <w:rsid w:val="00B0712C"/>
    <w:rsid w:val="00B11338"/>
    <w:rsid w:val="00B135F6"/>
    <w:rsid w:val="00B13954"/>
    <w:rsid w:val="00B14EC8"/>
    <w:rsid w:val="00B162AE"/>
    <w:rsid w:val="00B21A82"/>
    <w:rsid w:val="00B2362F"/>
    <w:rsid w:val="00B246A3"/>
    <w:rsid w:val="00B24836"/>
    <w:rsid w:val="00B26D81"/>
    <w:rsid w:val="00B278EB"/>
    <w:rsid w:val="00B30783"/>
    <w:rsid w:val="00B31360"/>
    <w:rsid w:val="00B3183F"/>
    <w:rsid w:val="00B32F13"/>
    <w:rsid w:val="00B33B2B"/>
    <w:rsid w:val="00B34470"/>
    <w:rsid w:val="00B360FE"/>
    <w:rsid w:val="00B42EE4"/>
    <w:rsid w:val="00B45ECE"/>
    <w:rsid w:val="00B46496"/>
    <w:rsid w:val="00B4720F"/>
    <w:rsid w:val="00B474CF"/>
    <w:rsid w:val="00B50B1D"/>
    <w:rsid w:val="00B51B67"/>
    <w:rsid w:val="00B52ABA"/>
    <w:rsid w:val="00B54C0A"/>
    <w:rsid w:val="00B54D58"/>
    <w:rsid w:val="00B55A23"/>
    <w:rsid w:val="00B5706A"/>
    <w:rsid w:val="00B60930"/>
    <w:rsid w:val="00B62BBD"/>
    <w:rsid w:val="00B64A58"/>
    <w:rsid w:val="00B66D25"/>
    <w:rsid w:val="00B67209"/>
    <w:rsid w:val="00B71335"/>
    <w:rsid w:val="00B7220A"/>
    <w:rsid w:val="00B72371"/>
    <w:rsid w:val="00B7463F"/>
    <w:rsid w:val="00B75092"/>
    <w:rsid w:val="00B76793"/>
    <w:rsid w:val="00B767B1"/>
    <w:rsid w:val="00B769D5"/>
    <w:rsid w:val="00B802D8"/>
    <w:rsid w:val="00B815F6"/>
    <w:rsid w:val="00B81888"/>
    <w:rsid w:val="00B81C86"/>
    <w:rsid w:val="00B90BAE"/>
    <w:rsid w:val="00B914A7"/>
    <w:rsid w:val="00B93449"/>
    <w:rsid w:val="00B97B56"/>
    <w:rsid w:val="00BA0150"/>
    <w:rsid w:val="00BA0F00"/>
    <w:rsid w:val="00BA2033"/>
    <w:rsid w:val="00BA3910"/>
    <w:rsid w:val="00BA68F3"/>
    <w:rsid w:val="00BB157C"/>
    <w:rsid w:val="00BB1FD8"/>
    <w:rsid w:val="00BB20AA"/>
    <w:rsid w:val="00BB628E"/>
    <w:rsid w:val="00BC03C1"/>
    <w:rsid w:val="00BC100C"/>
    <w:rsid w:val="00BC27C4"/>
    <w:rsid w:val="00BC33A6"/>
    <w:rsid w:val="00BC4B54"/>
    <w:rsid w:val="00BC5BF1"/>
    <w:rsid w:val="00BC7C17"/>
    <w:rsid w:val="00BD054E"/>
    <w:rsid w:val="00BD321A"/>
    <w:rsid w:val="00BD39CC"/>
    <w:rsid w:val="00BD3EF1"/>
    <w:rsid w:val="00BD5AA7"/>
    <w:rsid w:val="00BD73B1"/>
    <w:rsid w:val="00BE2B08"/>
    <w:rsid w:val="00BF1FA1"/>
    <w:rsid w:val="00BF3557"/>
    <w:rsid w:val="00BF4847"/>
    <w:rsid w:val="00BF7AC3"/>
    <w:rsid w:val="00C004AE"/>
    <w:rsid w:val="00C00B02"/>
    <w:rsid w:val="00C00C24"/>
    <w:rsid w:val="00C01568"/>
    <w:rsid w:val="00C02B5B"/>
    <w:rsid w:val="00C03434"/>
    <w:rsid w:val="00C03D62"/>
    <w:rsid w:val="00C07D4F"/>
    <w:rsid w:val="00C12C42"/>
    <w:rsid w:val="00C12FEC"/>
    <w:rsid w:val="00C133BA"/>
    <w:rsid w:val="00C13ADC"/>
    <w:rsid w:val="00C159BC"/>
    <w:rsid w:val="00C15EC5"/>
    <w:rsid w:val="00C17154"/>
    <w:rsid w:val="00C17E45"/>
    <w:rsid w:val="00C207AF"/>
    <w:rsid w:val="00C2288B"/>
    <w:rsid w:val="00C23AC3"/>
    <w:rsid w:val="00C25B58"/>
    <w:rsid w:val="00C27223"/>
    <w:rsid w:val="00C27233"/>
    <w:rsid w:val="00C3238D"/>
    <w:rsid w:val="00C34000"/>
    <w:rsid w:val="00C34700"/>
    <w:rsid w:val="00C362F1"/>
    <w:rsid w:val="00C37723"/>
    <w:rsid w:val="00C44E56"/>
    <w:rsid w:val="00C45DE3"/>
    <w:rsid w:val="00C4702F"/>
    <w:rsid w:val="00C47512"/>
    <w:rsid w:val="00C47CC3"/>
    <w:rsid w:val="00C57D2E"/>
    <w:rsid w:val="00C57EF5"/>
    <w:rsid w:val="00C605B2"/>
    <w:rsid w:val="00C6109B"/>
    <w:rsid w:val="00C62088"/>
    <w:rsid w:val="00C621B9"/>
    <w:rsid w:val="00C64565"/>
    <w:rsid w:val="00C70652"/>
    <w:rsid w:val="00C75036"/>
    <w:rsid w:val="00C767CA"/>
    <w:rsid w:val="00C83822"/>
    <w:rsid w:val="00C83EBE"/>
    <w:rsid w:val="00C87E3D"/>
    <w:rsid w:val="00C96178"/>
    <w:rsid w:val="00CA06A8"/>
    <w:rsid w:val="00CA18FB"/>
    <w:rsid w:val="00CA2AC5"/>
    <w:rsid w:val="00CA2C30"/>
    <w:rsid w:val="00CA5F6E"/>
    <w:rsid w:val="00CA6788"/>
    <w:rsid w:val="00CA6CB8"/>
    <w:rsid w:val="00CB6160"/>
    <w:rsid w:val="00CC0055"/>
    <w:rsid w:val="00CC15AA"/>
    <w:rsid w:val="00CC1E7D"/>
    <w:rsid w:val="00CC38BA"/>
    <w:rsid w:val="00CC64C1"/>
    <w:rsid w:val="00CD38B2"/>
    <w:rsid w:val="00CD39A6"/>
    <w:rsid w:val="00CD544E"/>
    <w:rsid w:val="00CD561B"/>
    <w:rsid w:val="00CE1280"/>
    <w:rsid w:val="00CE4B05"/>
    <w:rsid w:val="00CE4BB4"/>
    <w:rsid w:val="00CE68FD"/>
    <w:rsid w:val="00CE7F15"/>
    <w:rsid w:val="00CF0B77"/>
    <w:rsid w:val="00CF1490"/>
    <w:rsid w:val="00CF30F8"/>
    <w:rsid w:val="00CF3C20"/>
    <w:rsid w:val="00CF585C"/>
    <w:rsid w:val="00CF7877"/>
    <w:rsid w:val="00D008D5"/>
    <w:rsid w:val="00D026BA"/>
    <w:rsid w:val="00D04289"/>
    <w:rsid w:val="00D0681D"/>
    <w:rsid w:val="00D068F9"/>
    <w:rsid w:val="00D07481"/>
    <w:rsid w:val="00D100D4"/>
    <w:rsid w:val="00D11630"/>
    <w:rsid w:val="00D13D66"/>
    <w:rsid w:val="00D14FA3"/>
    <w:rsid w:val="00D177D4"/>
    <w:rsid w:val="00D20B46"/>
    <w:rsid w:val="00D2450E"/>
    <w:rsid w:val="00D2497F"/>
    <w:rsid w:val="00D26704"/>
    <w:rsid w:val="00D27E35"/>
    <w:rsid w:val="00D311DF"/>
    <w:rsid w:val="00D31EA4"/>
    <w:rsid w:val="00D32679"/>
    <w:rsid w:val="00D32F62"/>
    <w:rsid w:val="00D34101"/>
    <w:rsid w:val="00D350E7"/>
    <w:rsid w:val="00D359F7"/>
    <w:rsid w:val="00D4024F"/>
    <w:rsid w:val="00D406F0"/>
    <w:rsid w:val="00D40E25"/>
    <w:rsid w:val="00D41DCA"/>
    <w:rsid w:val="00D4235F"/>
    <w:rsid w:val="00D42568"/>
    <w:rsid w:val="00D43941"/>
    <w:rsid w:val="00D475DE"/>
    <w:rsid w:val="00D52AE9"/>
    <w:rsid w:val="00D536A1"/>
    <w:rsid w:val="00D568D9"/>
    <w:rsid w:val="00D60376"/>
    <w:rsid w:val="00D62186"/>
    <w:rsid w:val="00D62487"/>
    <w:rsid w:val="00D66B55"/>
    <w:rsid w:val="00D70A76"/>
    <w:rsid w:val="00D71854"/>
    <w:rsid w:val="00D72BD1"/>
    <w:rsid w:val="00D735E7"/>
    <w:rsid w:val="00D7558A"/>
    <w:rsid w:val="00D76BF5"/>
    <w:rsid w:val="00D82D09"/>
    <w:rsid w:val="00D84DAA"/>
    <w:rsid w:val="00D908B3"/>
    <w:rsid w:val="00D92A70"/>
    <w:rsid w:val="00D96E94"/>
    <w:rsid w:val="00D97301"/>
    <w:rsid w:val="00DA3697"/>
    <w:rsid w:val="00DA48D7"/>
    <w:rsid w:val="00DB604D"/>
    <w:rsid w:val="00DC0384"/>
    <w:rsid w:val="00DC6D7A"/>
    <w:rsid w:val="00DC7F3D"/>
    <w:rsid w:val="00DD1B10"/>
    <w:rsid w:val="00DD2D1D"/>
    <w:rsid w:val="00DD3E2E"/>
    <w:rsid w:val="00DD54E7"/>
    <w:rsid w:val="00DE06BB"/>
    <w:rsid w:val="00DE124B"/>
    <w:rsid w:val="00DE1F7B"/>
    <w:rsid w:val="00DE2AC6"/>
    <w:rsid w:val="00DE3266"/>
    <w:rsid w:val="00DE403C"/>
    <w:rsid w:val="00DE4DA6"/>
    <w:rsid w:val="00DE785C"/>
    <w:rsid w:val="00DF12B2"/>
    <w:rsid w:val="00DF20EF"/>
    <w:rsid w:val="00DF3D96"/>
    <w:rsid w:val="00DF4BA7"/>
    <w:rsid w:val="00DF630B"/>
    <w:rsid w:val="00DF7B10"/>
    <w:rsid w:val="00E012A3"/>
    <w:rsid w:val="00E07926"/>
    <w:rsid w:val="00E10B1C"/>
    <w:rsid w:val="00E23915"/>
    <w:rsid w:val="00E241CF"/>
    <w:rsid w:val="00E2423D"/>
    <w:rsid w:val="00E25598"/>
    <w:rsid w:val="00E27A7E"/>
    <w:rsid w:val="00E27C08"/>
    <w:rsid w:val="00E316C3"/>
    <w:rsid w:val="00E3509D"/>
    <w:rsid w:val="00E353E8"/>
    <w:rsid w:val="00E370F1"/>
    <w:rsid w:val="00E40649"/>
    <w:rsid w:val="00E422B5"/>
    <w:rsid w:val="00E4355B"/>
    <w:rsid w:val="00E47AD3"/>
    <w:rsid w:val="00E510DE"/>
    <w:rsid w:val="00E555DD"/>
    <w:rsid w:val="00E568EC"/>
    <w:rsid w:val="00E6189B"/>
    <w:rsid w:val="00E634F0"/>
    <w:rsid w:val="00E640D7"/>
    <w:rsid w:val="00E650B0"/>
    <w:rsid w:val="00E67A99"/>
    <w:rsid w:val="00E70E7D"/>
    <w:rsid w:val="00E7169E"/>
    <w:rsid w:val="00E72438"/>
    <w:rsid w:val="00E737E5"/>
    <w:rsid w:val="00E73F2F"/>
    <w:rsid w:val="00E81AC6"/>
    <w:rsid w:val="00E81C0A"/>
    <w:rsid w:val="00E81E0F"/>
    <w:rsid w:val="00E83830"/>
    <w:rsid w:val="00E84943"/>
    <w:rsid w:val="00E850AD"/>
    <w:rsid w:val="00E85ED2"/>
    <w:rsid w:val="00E87143"/>
    <w:rsid w:val="00E910AB"/>
    <w:rsid w:val="00E92FD8"/>
    <w:rsid w:val="00E93136"/>
    <w:rsid w:val="00E933E4"/>
    <w:rsid w:val="00EA49E9"/>
    <w:rsid w:val="00EA4EB7"/>
    <w:rsid w:val="00EB0093"/>
    <w:rsid w:val="00EB20B8"/>
    <w:rsid w:val="00EB23BC"/>
    <w:rsid w:val="00EB3D1E"/>
    <w:rsid w:val="00EC01C2"/>
    <w:rsid w:val="00EC2862"/>
    <w:rsid w:val="00EC36D8"/>
    <w:rsid w:val="00EC4E24"/>
    <w:rsid w:val="00EC5D66"/>
    <w:rsid w:val="00ED4990"/>
    <w:rsid w:val="00ED4BFB"/>
    <w:rsid w:val="00ED6BB3"/>
    <w:rsid w:val="00ED7919"/>
    <w:rsid w:val="00ED7C10"/>
    <w:rsid w:val="00EE1C21"/>
    <w:rsid w:val="00EE4139"/>
    <w:rsid w:val="00EE4AD3"/>
    <w:rsid w:val="00EF0DE9"/>
    <w:rsid w:val="00EF34F5"/>
    <w:rsid w:val="00EF5421"/>
    <w:rsid w:val="00EF5E4C"/>
    <w:rsid w:val="00F01647"/>
    <w:rsid w:val="00F053C9"/>
    <w:rsid w:val="00F115FD"/>
    <w:rsid w:val="00F17F56"/>
    <w:rsid w:val="00F2122B"/>
    <w:rsid w:val="00F240F0"/>
    <w:rsid w:val="00F2797E"/>
    <w:rsid w:val="00F318D8"/>
    <w:rsid w:val="00F36A1A"/>
    <w:rsid w:val="00F4054B"/>
    <w:rsid w:val="00F42488"/>
    <w:rsid w:val="00F42887"/>
    <w:rsid w:val="00F45037"/>
    <w:rsid w:val="00F45271"/>
    <w:rsid w:val="00F4715F"/>
    <w:rsid w:val="00F50802"/>
    <w:rsid w:val="00F5315B"/>
    <w:rsid w:val="00F5364B"/>
    <w:rsid w:val="00F549E0"/>
    <w:rsid w:val="00F61A29"/>
    <w:rsid w:val="00F6355D"/>
    <w:rsid w:val="00F6430A"/>
    <w:rsid w:val="00F64994"/>
    <w:rsid w:val="00F74D8B"/>
    <w:rsid w:val="00F818EB"/>
    <w:rsid w:val="00F83375"/>
    <w:rsid w:val="00F8409B"/>
    <w:rsid w:val="00F9016F"/>
    <w:rsid w:val="00F9309F"/>
    <w:rsid w:val="00F9569C"/>
    <w:rsid w:val="00F96A11"/>
    <w:rsid w:val="00F96D83"/>
    <w:rsid w:val="00F97143"/>
    <w:rsid w:val="00F977F8"/>
    <w:rsid w:val="00F97F3E"/>
    <w:rsid w:val="00FA0B66"/>
    <w:rsid w:val="00FA2DED"/>
    <w:rsid w:val="00FA33EC"/>
    <w:rsid w:val="00FA6B9E"/>
    <w:rsid w:val="00FA71CA"/>
    <w:rsid w:val="00FA7DA8"/>
    <w:rsid w:val="00FB2CF9"/>
    <w:rsid w:val="00FB3EF6"/>
    <w:rsid w:val="00FB4A6E"/>
    <w:rsid w:val="00FB61C5"/>
    <w:rsid w:val="00FB6849"/>
    <w:rsid w:val="00FC4286"/>
    <w:rsid w:val="00FC47F7"/>
    <w:rsid w:val="00FC4DD7"/>
    <w:rsid w:val="00FC6EA5"/>
    <w:rsid w:val="00FD3A61"/>
    <w:rsid w:val="00FD4124"/>
    <w:rsid w:val="00FD47AF"/>
    <w:rsid w:val="00FE0ECC"/>
    <w:rsid w:val="00FE36D0"/>
    <w:rsid w:val="00FE5F30"/>
    <w:rsid w:val="00FF19EC"/>
    <w:rsid w:val="00FF2181"/>
    <w:rsid w:val="00FF464B"/>
    <w:rsid w:val="00FF50A7"/>
    <w:rsid w:val="00FF50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814C8"/>
  </w:style>
  <w:style w:type="paragraph" w:styleId="Heading1">
    <w:name w:val="heading 1"/>
    <w:basedOn w:val="Normal"/>
    <w:next w:val="Normal"/>
    <w:link w:val="Heading1Char"/>
    <w:uiPriority w:val="9"/>
    <w:qFormat/>
    <w:rsid w:val="001D4A90"/>
    <w:pPr>
      <w:spacing w:line="360" w:lineRule="auto"/>
      <w:jc w:val="center"/>
      <w:outlineLvl w:val="0"/>
    </w:pPr>
    <w:rPr>
      <w:rFonts w:ascii="Times New Roman" w:hAnsi="Times New Roman"/>
      <w:b/>
      <w:smallCaps/>
      <w:u w:val="single"/>
    </w:rPr>
  </w:style>
  <w:style w:type="paragraph" w:styleId="Heading3">
    <w:name w:val="heading 3"/>
    <w:basedOn w:val="Normal"/>
    <w:next w:val="Normal"/>
    <w:link w:val="Heading3Char"/>
    <w:rsid w:val="00172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362F1"/>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146E9D"/>
    <w:rPr>
      <w:rFonts w:ascii="Lucida Grande" w:hAnsi="Lucida Grande" w:cs="Lucida Grande"/>
      <w:sz w:val="18"/>
      <w:szCs w:val="18"/>
    </w:rPr>
  </w:style>
  <w:style w:type="character" w:customStyle="1" w:styleId="Heading1Char">
    <w:name w:val="Heading 1 Char"/>
    <w:basedOn w:val="DefaultParagraphFont"/>
    <w:link w:val="Heading1"/>
    <w:uiPriority w:val="9"/>
    <w:rsid w:val="001D4A90"/>
    <w:rPr>
      <w:rFonts w:ascii="Times New Roman" w:hAnsi="Times New Roman"/>
      <w:b/>
      <w:smallCaps/>
      <w:u w:val="single"/>
    </w:rPr>
  </w:style>
  <w:style w:type="character" w:customStyle="1" w:styleId="Heading3Char">
    <w:name w:val="Heading 3 Char"/>
    <w:basedOn w:val="DefaultParagraphFont"/>
    <w:link w:val="Heading3"/>
    <w:rsid w:val="0017226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762086"/>
    <w:pPr>
      <w:spacing w:line="276" w:lineRule="auto"/>
      <w:outlineLvl w:val="9"/>
    </w:pPr>
    <w:rPr>
      <w:sz w:val="28"/>
      <w:szCs w:val="28"/>
    </w:rPr>
  </w:style>
  <w:style w:type="paragraph" w:styleId="TOC1">
    <w:name w:val="toc 1"/>
    <w:basedOn w:val="Normal"/>
    <w:next w:val="Normal"/>
    <w:uiPriority w:val="39"/>
    <w:unhideWhenUsed/>
    <w:rsid w:val="008269A7"/>
    <w:pPr>
      <w:spacing w:before="120" w:after="0" w:line="360" w:lineRule="auto"/>
    </w:pPr>
    <w:rPr>
      <w:rFonts w:ascii="Times New Roman" w:hAnsi="Times New Roman"/>
      <w:caps/>
      <w:szCs w:val="22"/>
    </w:rPr>
  </w:style>
  <w:style w:type="paragraph" w:styleId="TOC2">
    <w:name w:val="toc 2"/>
    <w:basedOn w:val="Normal"/>
    <w:next w:val="Normal"/>
    <w:uiPriority w:val="39"/>
    <w:unhideWhenUsed/>
    <w:rsid w:val="00D72BD1"/>
    <w:pPr>
      <w:spacing w:after="0" w:line="480" w:lineRule="auto"/>
      <w:ind w:left="240"/>
    </w:pPr>
    <w:rPr>
      <w:i/>
      <w:smallCaps/>
      <w:sz w:val="28"/>
      <w:szCs w:val="22"/>
    </w:rPr>
  </w:style>
  <w:style w:type="paragraph" w:styleId="TOC3">
    <w:name w:val="toc 3"/>
    <w:basedOn w:val="Normal"/>
    <w:next w:val="Normal"/>
    <w:uiPriority w:val="39"/>
    <w:unhideWhenUsed/>
    <w:rsid w:val="004C0CE4"/>
    <w:pPr>
      <w:spacing w:after="0" w:line="480" w:lineRule="auto"/>
      <w:ind w:left="480"/>
    </w:pPr>
    <w:rPr>
      <w:i/>
      <w:szCs w:val="22"/>
    </w:rPr>
  </w:style>
  <w:style w:type="paragraph" w:styleId="TOC4">
    <w:name w:val="toc 4"/>
    <w:basedOn w:val="Normal"/>
    <w:next w:val="Normal"/>
    <w:autoRedefine/>
    <w:uiPriority w:val="39"/>
    <w:semiHidden/>
    <w:unhideWhenUsed/>
    <w:rsid w:val="00C70652"/>
    <w:pPr>
      <w:spacing w:after="0"/>
      <w:ind w:left="720"/>
    </w:pPr>
    <w:rPr>
      <w:sz w:val="18"/>
      <w:szCs w:val="18"/>
    </w:rPr>
  </w:style>
  <w:style w:type="paragraph" w:styleId="TOC5">
    <w:name w:val="toc 5"/>
    <w:basedOn w:val="Normal"/>
    <w:next w:val="Normal"/>
    <w:autoRedefine/>
    <w:uiPriority w:val="39"/>
    <w:semiHidden/>
    <w:unhideWhenUsed/>
    <w:rsid w:val="00C70652"/>
    <w:pPr>
      <w:spacing w:after="0"/>
      <w:ind w:left="960"/>
    </w:pPr>
    <w:rPr>
      <w:sz w:val="18"/>
      <w:szCs w:val="18"/>
    </w:rPr>
  </w:style>
  <w:style w:type="paragraph" w:styleId="TOC6">
    <w:name w:val="toc 6"/>
    <w:basedOn w:val="Normal"/>
    <w:next w:val="Normal"/>
    <w:autoRedefine/>
    <w:uiPriority w:val="39"/>
    <w:semiHidden/>
    <w:unhideWhenUsed/>
    <w:rsid w:val="00C70652"/>
    <w:pPr>
      <w:spacing w:after="0"/>
      <w:ind w:left="1200"/>
    </w:pPr>
    <w:rPr>
      <w:sz w:val="18"/>
      <w:szCs w:val="18"/>
    </w:rPr>
  </w:style>
  <w:style w:type="paragraph" w:styleId="TOC7">
    <w:name w:val="toc 7"/>
    <w:basedOn w:val="Normal"/>
    <w:next w:val="Normal"/>
    <w:autoRedefine/>
    <w:uiPriority w:val="39"/>
    <w:semiHidden/>
    <w:unhideWhenUsed/>
    <w:rsid w:val="00C70652"/>
    <w:pPr>
      <w:spacing w:after="0"/>
      <w:ind w:left="1440"/>
    </w:pPr>
    <w:rPr>
      <w:sz w:val="18"/>
      <w:szCs w:val="18"/>
    </w:rPr>
  </w:style>
  <w:style w:type="paragraph" w:styleId="TOC8">
    <w:name w:val="toc 8"/>
    <w:basedOn w:val="Normal"/>
    <w:next w:val="Normal"/>
    <w:autoRedefine/>
    <w:uiPriority w:val="39"/>
    <w:semiHidden/>
    <w:unhideWhenUsed/>
    <w:rsid w:val="00C70652"/>
    <w:pPr>
      <w:spacing w:after="0"/>
      <w:ind w:left="1680"/>
    </w:pPr>
    <w:rPr>
      <w:sz w:val="18"/>
      <w:szCs w:val="18"/>
    </w:rPr>
  </w:style>
  <w:style w:type="paragraph" w:styleId="TOC9">
    <w:name w:val="toc 9"/>
    <w:basedOn w:val="Normal"/>
    <w:next w:val="Normal"/>
    <w:autoRedefine/>
    <w:uiPriority w:val="39"/>
    <w:semiHidden/>
    <w:unhideWhenUsed/>
    <w:rsid w:val="00C70652"/>
    <w:pPr>
      <w:spacing w:after="0"/>
      <w:ind w:left="1920"/>
    </w:pPr>
    <w:rPr>
      <w:sz w:val="18"/>
      <w:szCs w:val="18"/>
    </w:rPr>
  </w:style>
  <w:style w:type="paragraph" w:styleId="Footer">
    <w:name w:val="footer"/>
    <w:basedOn w:val="Normal"/>
    <w:link w:val="FooterChar"/>
    <w:uiPriority w:val="99"/>
    <w:semiHidden/>
    <w:unhideWhenUsed/>
    <w:rsid w:val="00863EFB"/>
    <w:pPr>
      <w:tabs>
        <w:tab w:val="center" w:pos="4320"/>
        <w:tab w:val="right" w:pos="8640"/>
      </w:tabs>
      <w:spacing w:after="0"/>
    </w:pPr>
  </w:style>
  <w:style w:type="character" w:customStyle="1" w:styleId="FooterChar">
    <w:name w:val="Footer Char"/>
    <w:basedOn w:val="DefaultParagraphFont"/>
    <w:link w:val="Footer"/>
    <w:uiPriority w:val="99"/>
    <w:semiHidden/>
    <w:rsid w:val="00863EFB"/>
  </w:style>
  <w:style w:type="character" w:styleId="PageNumber">
    <w:name w:val="page number"/>
    <w:basedOn w:val="DefaultParagraphFont"/>
    <w:uiPriority w:val="99"/>
    <w:semiHidden/>
    <w:unhideWhenUsed/>
    <w:rsid w:val="00863EFB"/>
  </w:style>
  <w:style w:type="paragraph" w:styleId="FootnoteText">
    <w:name w:val="footnote text"/>
    <w:basedOn w:val="Normal"/>
    <w:link w:val="FootnoteTextChar"/>
    <w:uiPriority w:val="99"/>
    <w:rsid w:val="00032428"/>
    <w:pPr>
      <w:spacing w:after="0"/>
    </w:pPr>
  </w:style>
  <w:style w:type="character" w:customStyle="1" w:styleId="FootnoteTextChar">
    <w:name w:val="Footnote Text Char"/>
    <w:basedOn w:val="DefaultParagraphFont"/>
    <w:link w:val="FootnoteText"/>
    <w:uiPriority w:val="99"/>
    <w:rsid w:val="00032428"/>
  </w:style>
  <w:style w:type="character" w:styleId="FootnoteReference">
    <w:name w:val="footnote reference"/>
    <w:basedOn w:val="DefaultParagraphFont"/>
    <w:uiPriority w:val="99"/>
    <w:rsid w:val="00032428"/>
    <w:rPr>
      <w:vertAlign w:val="superscript"/>
    </w:rPr>
  </w:style>
  <w:style w:type="character" w:styleId="Hyperlink">
    <w:name w:val="Hyperlink"/>
    <w:basedOn w:val="DefaultParagraphFont"/>
    <w:uiPriority w:val="99"/>
    <w:rsid w:val="00B75092"/>
    <w:rPr>
      <w:color w:val="0000FF" w:themeColor="hyperlink"/>
      <w:u w:val="single"/>
    </w:rPr>
  </w:style>
  <w:style w:type="paragraph" w:styleId="Header">
    <w:name w:val="header"/>
    <w:basedOn w:val="Normal"/>
    <w:link w:val="HeaderChar"/>
    <w:rsid w:val="008269A7"/>
    <w:pPr>
      <w:tabs>
        <w:tab w:val="center" w:pos="4320"/>
        <w:tab w:val="right" w:pos="8640"/>
      </w:tabs>
      <w:spacing w:after="0"/>
    </w:pPr>
  </w:style>
  <w:style w:type="character" w:customStyle="1" w:styleId="HeaderChar">
    <w:name w:val="Header Char"/>
    <w:basedOn w:val="DefaultParagraphFont"/>
    <w:link w:val="Header"/>
    <w:rsid w:val="008269A7"/>
  </w:style>
  <w:style w:type="character" w:customStyle="1" w:styleId="BalloonTextChar1">
    <w:name w:val="Balloon Text Char1"/>
    <w:basedOn w:val="DefaultParagraphFont"/>
    <w:link w:val="BalloonText"/>
    <w:uiPriority w:val="99"/>
    <w:rsid w:val="00C362F1"/>
    <w:rPr>
      <w:rFonts w:ascii="Lucida Grande" w:hAnsi="Lucida Grande"/>
      <w:sz w:val="18"/>
      <w:szCs w:val="18"/>
    </w:rPr>
  </w:style>
  <w:style w:type="paragraph" w:customStyle="1" w:styleId="Style1">
    <w:name w:val="Style1"/>
    <w:basedOn w:val="TOC4"/>
    <w:qFormat/>
    <w:rsid w:val="00B81888"/>
    <w:pPr>
      <w:spacing w:line="360" w:lineRule="auto"/>
    </w:pPr>
  </w:style>
  <w:style w:type="character" w:customStyle="1" w:styleId="ptext-">
    <w:name w:val="ptext-"/>
    <w:basedOn w:val="DefaultParagraphFont"/>
    <w:rsid w:val="007C0F6D"/>
  </w:style>
  <w:style w:type="character" w:styleId="Emphasis">
    <w:name w:val="Emphasis"/>
    <w:basedOn w:val="DefaultParagraphFont"/>
    <w:uiPriority w:val="20"/>
    <w:rsid w:val="00172263"/>
    <w:rPr>
      <w:i/>
    </w:rPr>
  </w:style>
  <w:style w:type="paragraph" w:customStyle="1" w:styleId="Style2">
    <w:name w:val="Style2"/>
    <w:basedOn w:val="TOC4"/>
    <w:qFormat/>
    <w:rsid w:val="00C83EBE"/>
    <w:pPr>
      <w:spacing w:line="480" w:lineRule="auto"/>
      <w:jc w:val="both"/>
    </w:pPr>
  </w:style>
  <w:style w:type="paragraph" w:customStyle="1" w:styleId="Style3">
    <w:name w:val="Style3"/>
    <w:basedOn w:val="TOC4"/>
    <w:qFormat/>
    <w:rsid w:val="00C83EBE"/>
    <w:pPr>
      <w:spacing w:line="480" w:lineRule="auto"/>
      <w:jc w:val="both"/>
    </w:pPr>
  </w:style>
  <w:style w:type="paragraph" w:customStyle="1" w:styleId="Style4">
    <w:name w:val="Style4"/>
    <w:basedOn w:val="TOC4"/>
    <w:next w:val="Normal"/>
    <w:qFormat/>
    <w:rsid w:val="00C83EBE"/>
    <w:pPr>
      <w:spacing w:line="480" w:lineRule="auto"/>
      <w:jc w:val="both"/>
    </w:pPr>
  </w:style>
  <w:style w:type="paragraph" w:customStyle="1" w:styleId="TOC40">
    <w:name w:val="TOC4"/>
    <w:basedOn w:val="Normal"/>
    <w:qFormat/>
    <w:rsid w:val="00C83EBE"/>
    <w:pPr>
      <w:ind w:left="720"/>
    </w:pPr>
    <w:rPr>
      <w:i/>
    </w:rPr>
  </w:style>
  <w:style w:type="character" w:customStyle="1" w:styleId="CommentTextChar">
    <w:name w:val="Comment Text Char"/>
    <w:basedOn w:val="DefaultParagraphFont"/>
    <w:link w:val="CommentText"/>
    <w:uiPriority w:val="99"/>
    <w:rsid w:val="0053581D"/>
    <w:rPr>
      <w:rFonts w:eastAsiaTheme="minorEastAsia"/>
    </w:rPr>
  </w:style>
  <w:style w:type="paragraph" w:styleId="CommentText">
    <w:name w:val="annotation text"/>
    <w:basedOn w:val="Normal"/>
    <w:link w:val="CommentTextChar"/>
    <w:uiPriority w:val="99"/>
    <w:unhideWhenUsed/>
    <w:rsid w:val="0053581D"/>
    <w:pPr>
      <w:spacing w:after="0"/>
    </w:pPr>
    <w:rPr>
      <w:rFonts w:eastAsiaTheme="minorEastAsia"/>
    </w:rPr>
  </w:style>
  <w:style w:type="character" w:customStyle="1" w:styleId="CommentSubjectChar">
    <w:name w:val="Comment Subject Char"/>
    <w:basedOn w:val="CommentTextChar"/>
    <w:link w:val="CommentSubject"/>
    <w:uiPriority w:val="99"/>
    <w:rsid w:val="0053581D"/>
    <w:rPr>
      <w:rFonts w:eastAsiaTheme="minorEastAsia"/>
      <w:b/>
      <w:bCs/>
      <w:sz w:val="20"/>
      <w:szCs w:val="20"/>
    </w:rPr>
  </w:style>
  <w:style w:type="paragraph" w:styleId="CommentSubject">
    <w:name w:val="annotation subject"/>
    <w:basedOn w:val="CommentText"/>
    <w:next w:val="CommentText"/>
    <w:link w:val="CommentSubjectChar"/>
    <w:uiPriority w:val="99"/>
    <w:unhideWhenUsed/>
    <w:rsid w:val="0053581D"/>
    <w:rPr>
      <w:b/>
      <w:bCs/>
      <w:sz w:val="20"/>
      <w:szCs w:val="20"/>
    </w:rPr>
  </w:style>
  <w:style w:type="character" w:styleId="CommentReference">
    <w:name w:val="annotation reference"/>
    <w:basedOn w:val="DefaultParagraphFont"/>
    <w:uiPriority w:val="99"/>
    <w:unhideWhenUsed/>
    <w:rsid w:val="0053581D"/>
    <w:rPr>
      <w:sz w:val="18"/>
      <w:szCs w:val="18"/>
    </w:rPr>
  </w:style>
  <w:style w:type="character" w:styleId="FollowedHyperlink">
    <w:name w:val="FollowedHyperlink"/>
    <w:basedOn w:val="DefaultParagraphFont"/>
    <w:rsid w:val="00562AC0"/>
    <w:rPr>
      <w:color w:val="800080" w:themeColor="followedHyperlink"/>
      <w:u w:val="single"/>
    </w:rPr>
  </w:style>
  <w:style w:type="paragraph" w:styleId="PlainText">
    <w:name w:val="Plain Text"/>
    <w:basedOn w:val="Normal"/>
    <w:link w:val="PlainTextChar"/>
    <w:rsid w:val="00D72BD1"/>
    <w:pPr>
      <w:spacing w:after="0"/>
    </w:pPr>
    <w:rPr>
      <w:rFonts w:ascii="Courier" w:hAnsi="Courier"/>
      <w:sz w:val="21"/>
      <w:szCs w:val="21"/>
    </w:rPr>
  </w:style>
  <w:style w:type="character" w:customStyle="1" w:styleId="PlainTextChar">
    <w:name w:val="Plain Text Char"/>
    <w:basedOn w:val="DefaultParagraphFont"/>
    <w:link w:val="PlainText"/>
    <w:rsid w:val="00D72BD1"/>
    <w:rPr>
      <w:rFonts w:ascii="Courier" w:hAnsi="Courier"/>
      <w:sz w:val="21"/>
      <w:szCs w:val="21"/>
    </w:rPr>
  </w:style>
  <w:style w:type="paragraph" w:styleId="NoSpacing">
    <w:name w:val="No Spacing"/>
    <w:rsid w:val="004C0CE4"/>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814C8"/>
  </w:style>
  <w:style w:type="paragraph" w:styleId="Heading1">
    <w:name w:val="heading 1"/>
    <w:basedOn w:val="Normal"/>
    <w:next w:val="Normal"/>
    <w:link w:val="Heading1Char"/>
    <w:uiPriority w:val="9"/>
    <w:qFormat/>
    <w:rsid w:val="001D4A90"/>
    <w:pPr>
      <w:spacing w:line="360" w:lineRule="auto"/>
      <w:jc w:val="center"/>
      <w:outlineLvl w:val="0"/>
    </w:pPr>
    <w:rPr>
      <w:rFonts w:ascii="Times New Roman" w:hAnsi="Times New Roman"/>
      <w:b/>
      <w:smallCaps/>
      <w:u w:val="single"/>
    </w:rPr>
  </w:style>
  <w:style w:type="paragraph" w:styleId="Heading3">
    <w:name w:val="heading 3"/>
    <w:basedOn w:val="Normal"/>
    <w:next w:val="Normal"/>
    <w:link w:val="Heading3Char"/>
    <w:rsid w:val="00172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C362F1"/>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146E9D"/>
    <w:rPr>
      <w:rFonts w:ascii="Lucida Grande" w:hAnsi="Lucida Grande" w:cs="Lucida Grande"/>
      <w:sz w:val="18"/>
      <w:szCs w:val="18"/>
    </w:rPr>
  </w:style>
  <w:style w:type="character" w:customStyle="1" w:styleId="Heading1Char">
    <w:name w:val="Heading 1 Char"/>
    <w:basedOn w:val="DefaultParagraphFont"/>
    <w:link w:val="Heading1"/>
    <w:uiPriority w:val="9"/>
    <w:rsid w:val="001D4A90"/>
    <w:rPr>
      <w:rFonts w:ascii="Times New Roman" w:hAnsi="Times New Roman"/>
      <w:b/>
      <w:smallCaps/>
      <w:u w:val="single"/>
    </w:rPr>
  </w:style>
  <w:style w:type="character" w:customStyle="1" w:styleId="Heading3Char">
    <w:name w:val="Heading 3 Char"/>
    <w:basedOn w:val="DefaultParagraphFont"/>
    <w:link w:val="Heading3"/>
    <w:rsid w:val="0017226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762086"/>
    <w:pPr>
      <w:spacing w:line="276" w:lineRule="auto"/>
      <w:outlineLvl w:val="9"/>
    </w:pPr>
    <w:rPr>
      <w:sz w:val="28"/>
      <w:szCs w:val="28"/>
    </w:rPr>
  </w:style>
  <w:style w:type="paragraph" w:styleId="TOC1">
    <w:name w:val="toc 1"/>
    <w:basedOn w:val="Normal"/>
    <w:next w:val="Normal"/>
    <w:uiPriority w:val="39"/>
    <w:unhideWhenUsed/>
    <w:rsid w:val="008269A7"/>
    <w:pPr>
      <w:spacing w:before="120" w:after="0" w:line="360" w:lineRule="auto"/>
    </w:pPr>
    <w:rPr>
      <w:rFonts w:ascii="Times New Roman" w:hAnsi="Times New Roman"/>
      <w:caps/>
      <w:szCs w:val="22"/>
    </w:rPr>
  </w:style>
  <w:style w:type="paragraph" w:styleId="TOC2">
    <w:name w:val="toc 2"/>
    <w:basedOn w:val="Normal"/>
    <w:next w:val="Normal"/>
    <w:uiPriority w:val="39"/>
    <w:unhideWhenUsed/>
    <w:rsid w:val="00D72BD1"/>
    <w:pPr>
      <w:spacing w:after="0" w:line="480" w:lineRule="auto"/>
      <w:ind w:left="240"/>
    </w:pPr>
    <w:rPr>
      <w:i/>
      <w:smallCaps/>
      <w:sz w:val="28"/>
      <w:szCs w:val="22"/>
    </w:rPr>
  </w:style>
  <w:style w:type="paragraph" w:styleId="TOC3">
    <w:name w:val="toc 3"/>
    <w:basedOn w:val="Normal"/>
    <w:next w:val="Normal"/>
    <w:uiPriority w:val="39"/>
    <w:unhideWhenUsed/>
    <w:rsid w:val="004C0CE4"/>
    <w:pPr>
      <w:spacing w:after="0" w:line="480" w:lineRule="auto"/>
      <w:ind w:left="480"/>
    </w:pPr>
    <w:rPr>
      <w:i/>
      <w:szCs w:val="22"/>
    </w:rPr>
  </w:style>
  <w:style w:type="paragraph" w:styleId="TOC4">
    <w:name w:val="toc 4"/>
    <w:basedOn w:val="Normal"/>
    <w:next w:val="Normal"/>
    <w:autoRedefine/>
    <w:uiPriority w:val="39"/>
    <w:semiHidden/>
    <w:unhideWhenUsed/>
    <w:rsid w:val="00C70652"/>
    <w:pPr>
      <w:spacing w:after="0"/>
      <w:ind w:left="720"/>
    </w:pPr>
    <w:rPr>
      <w:sz w:val="18"/>
      <w:szCs w:val="18"/>
    </w:rPr>
  </w:style>
  <w:style w:type="paragraph" w:styleId="TOC5">
    <w:name w:val="toc 5"/>
    <w:basedOn w:val="Normal"/>
    <w:next w:val="Normal"/>
    <w:autoRedefine/>
    <w:uiPriority w:val="39"/>
    <w:semiHidden/>
    <w:unhideWhenUsed/>
    <w:rsid w:val="00C70652"/>
    <w:pPr>
      <w:spacing w:after="0"/>
      <w:ind w:left="960"/>
    </w:pPr>
    <w:rPr>
      <w:sz w:val="18"/>
      <w:szCs w:val="18"/>
    </w:rPr>
  </w:style>
  <w:style w:type="paragraph" w:styleId="TOC6">
    <w:name w:val="toc 6"/>
    <w:basedOn w:val="Normal"/>
    <w:next w:val="Normal"/>
    <w:autoRedefine/>
    <w:uiPriority w:val="39"/>
    <w:semiHidden/>
    <w:unhideWhenUsed/>
    <w:rsid w:val="00C70652"/>
    <w:pPr>
      <w:spacing w:after="0"/>
      <w:ind w:left="1200"/>
    </w:pPr>
    <w:rPr>
      <w:sz w:val="18"/>
      <w:szCs w:val="18"/>
    </w:rPr>
  </w:style>
  <w:style w:type="paragraph" w:styleId="TOC7">
    <w:name w:val="toc 7"/>
    <w:basedOn w:val="Normal"/>
    <w:next w:val="Normal"/>
    <w:autoRedefine/>
    <w:uiPriority w:val="39"/>
    <w:semiHidden/>
    <w:unhideWhenUsed/>
    <w:rsid w:val="00C70652"/>
    <w:pPr>
      <w:spacing w:after="0"/>
      <w:ind w:left="1440"/>
    </w:pPr>
    <w:rPr>
      <w:sz w:val="18"/>
      <w:szCs w:val="18"/>
    </w:rPr>
  </w:style>
  <w:style w:type="paragraph" w:styleId="TOC8">
    <w:name w:val="toc 8"/>
    <w:basedOn w:val="Normal"/>
    <w:next w:val="Normal"/>
    <w:autoRedefine/>
    <w:uiPriority w:val="39"/>
    <w:semiHidden/>
    <w:unhideWhenUsed/>
    <w:rsid w:val="00C70652"/>
    <w:pPr>
      <w:spacing w:after="0"/>
      <w:ind w:left="1680"/>
    </w:pPr>
    <w:rPr>
      <w:sz w:val="18"/>
      <w:szCs w:val="18"/>
    </w:rPr>
  </w:style>
  <w:style w:type="paragraph" w:styleId="TOC9">
    <w:name w:val="toc 9"/>
    <w:basedOn w:val="Normal"/>
    <w:next w:val="Normal"/>
    <w:autoRedefine/>
    <w:uiPriority w:val="39"/>
    <w:semiHidden/>
    <w:unhideWhenUsed/>
    <w:rsid w:val="00C70652"/>
    <w:pPr>
      <w:spacing w:after="0"/>
      <w:ind w:left="1920"/>
    </w:pPr>
    <w:rPr>
      <w:sz w:val="18"/>
      <w:szCs w:val="18"/>
    </w:rPr>
  </w:style>
  <w:style w:type="paragraph" w:styleId="Footer">
    <w:name w:val="footer"/>
    <w:basedOn w:val="Normal"/>
    <w:link w:val="FooterChar"/>
    <w:uiPriority w:val="99"/>
    <w:semiHidden/>
    <w:unhideWhenUsed/>
    <w:rsid w:val="00863EFB"/>
    <w:pPr>
      <w:tabs>
        <w:tab w:val="center" w:pos="4320"/>
        <w:tab w:val="right" w:pos="8640"/>
      </w:tabs>
      <w:spacing w:after="0"/>
    </w:pPr>
  </w:style>
  <w:style w:type="character" w:customStyle="1" w:styleId="FooterChar">
    <w:name w:val="Footer Char"/>
    <w:basedOn w:val="DefaultParagraphFont"/>
    <w:link w:val="Footer"/>
    <w:uiPriority w:val="99"/>
    <w:semiHidden/>
    <w:rsid w:val="00863EFB"/>
  </w:style>
  <w:style w:type="character" w:styleId="PageNumber">
    <w:name w:val="page number"/>
    <w:basedOn w:val="DefaultParagraphFont"/>
    <w:uiPriority w:val="99"/>
    <w:semiHidden/>
    <w:unhideWhenUsed/>
    <w:rsid w:val="00863EFB"/>
  </w:style>
  <w:style w:type="paragraph" w:styleId="FootnoteText">
    <w:name w:val="footnote text"/>
    <w:basedOn w:val="Normal"/>
    <w:link w:val="FootnoteTextChar"/>
    <w:uiPriority w:val="99"/>
    <w:rsid w:val="00032428"/>
    <w:pPr>
      <w:spacing w:after="0"/>
    </w:pPr>
  </w:style>
  <w:style w:type="character" w:customStyle="1" w:styleId="FootnoteTextChar">
    <w:name w:val="Footnote Text Char"/>
    <w:basedOn w:val="DefaultParagraphFont"/>
    <w:link w:val="FootnoteText"/>
    <w:uiPriority w:val="99"/>
    <w:rsid w:val="00032428"/>
  </w:style>
  <w:style w:type="character" w:styleId="FootnoteReference">
    <w:name w:val="footnote reference"/>
    <w:basedOn w:val="DefaultParagraphFont"/>
    <w:uiPriority w:val="99"/>
    <w:rsid w:val="00032428"/>
    <w:rPr>
      <w:vertAlign w:val="superscript"/>
    </w:rPr>
  </w:style>
  <w:style w:type="character" w:styleId="Hyperlink">
    <w:name w:val="Hyperlink"/>
    <w:basedOn w:val="DefaultParagraphFont"/>
    <w:uiPriority w:val="99"/>
    <w:rsid w:val="00B75092"/>
    <w:rPr>
      <w:color w:val="0000FF" w:themeColor="hyperlink"/>
      <w:u w:val="single"/>
    </w:rPr>
  </w:style>
  <w:style w:type="paragraph" w:styleId="Header">
    <w:name w:val="header"/>
    <w:basedOn w:val="Normal"/>
    <w:link w:val="HeaderChar"/>
    <w:rsid w:val="008269A7"/>
    <w:pPr>
      <w:tabs>
        <w:tab w:val="center" w:pos="4320"/>
        <w:tab w:val="right" w:pos="8640"/>
      </w:tabs>
      <w:spacing w:after="0"/>
    </w:pPr>
  </w:style>
  <w:style w:type="character" w:customStyle="1" w:styleId="HeaderChar">
    <w:name w:val="Header Char"/>
    <w:basedOn w:val="DefaultParagraphFont"/>
    <w:link w:val="Header"/>
    <w:rsid w:val="008269A7"/>
  </w:style>
  <w:style w:type="character" w:customStyle="1" w:styleId="BalloonTextChar1">
    <w:name w:val="Balloon Text Char1"/>
    <w:basedOn w:val="DefaultParagraphFont"/>
    <w:link w:val="BalloonText"/>
    <w:uiPriority w:val="99"/>
    <w:rsid w:val="00C362F1"/>
    <w:rPr>
      <w:rFonts w:ascii="Lucida Grande" w:hAnsi="Lucida Grande"/>
      <w:sz w:val="18"/>
      <w:szCs w:val="18"/>
    </w:rPr>
  </w:style>
  <w:style w:type="paragraph" w:customStyle="1" w:styleId="Style1">
    <w:name w:val="Style1"/>
    <w:basedOn w:val="TOC4"/>
    <w:qFormat/>
    <w:rsid w:val="00B81888"/>
    <w:pPr>
      <w:spacing w:line="360" w:lineRule="auto"/>
    </w:pPr>
  </w:style>
  <w:style w:type="character" w:customStyle="1" w:styleId="ptext-">
    <w:name w:val="ptext-"/>
    <w:basedOn w:val="DefaultParagraphFont"/>
    <w:rsid w:val="007C0F6D"/>
  </w:style>
  <w:style w:type="character" w:styleId="Emphasis">
    <w:name w:val="Emphasis"/>
    <w:basedOn w:val="DefaultParagraphFont"/>
    <w:uiPriority w:val="20"/>
    <w:rsid w:val="00172263"/>
    <w:rPr>
      <w:i/>
    </w:rPr>
  </w:style>
  <w:style w:type="paragraph" w:customStyle="1" w:styleId="Style2">
    <w:name w:val="Style2"/>
    <w:basedOn w:val="TOC4"/>
    <w:qFormat/>
    <w:rsid w:val="00C83EBE"/>
    <w:pPr>
      <w:spacing w:line="480" w:lineRule="auto"/>
      <w:jc w:val="both"/>
    </w:pPr>
  </w:style>
  <w:style w:type="paragraph" w:customStyle="1" w:styleId="Style3">
    <w:name w:val="Style3"/>
    <w:basedOn w:val="TOC4"/>
    <w:qFormat/>
    <w:rsid w:val="00C83EBE"/>
    <w:pPr>
      <w:spacing w:line="480" w:lineRule="auto"/>
      <w:jc w:val="both"/>
    </w:pPr>
  </w:style>
  <w:style w:type="paragraph" w:customStyle="1" w:styleId="Style4">
    <w:name w:val="Style4"/>
    <w:basedOn w:val="TOC4"/>
    <w:next w:val="Normal"/>
    <w:qFormat/>
    <w:rsid w:val="00C83EBE"/>
    <w:pPr>
      <w:spacing w:line="480" w:lineRule="auto"/>
      <w:jc w:val="both"/>
    </w:pPr>
  </w:style>
  <w:style w:type="paragraph" w:customStyle="1" w:styleId="TOC40">
    <w:name w:val="TOC4"/>
    <w:basedOn w:val="Normal"/>
    <w:qFormat/>
    <w:rsid w:val="00C83EBE"/>
    <w:pPr>
      <w:ind w:left="720"/>
    </w:pPr>
    <w:rPr>
      <w:i/>
    </w:rPr>
  </w:style>
  <w:style w:type="character" w:customStyle="1" w:styleId="CommentTextChar">
    <w:name w:val="Comment Text Char"/>
    <w:basedOn w:val="DefaultParagraphFont"/>
    <w:link w:val="CommentText"/>
    <w:uiPriority w:val="99"/>
    <w:rsid w:val="0053581D"/>
    <w:rPr>
      <w:rFonts w:eastAsiaTheme="minorEastAsia"/>
    </w:rPr>
  </w:style>
  <w:style w:type="paragraph" w:styleId="CommentText">
    <w:name w:val="annotation text"/>
    <w:basedOn w:val="Normal"/>
    <w:link w:val="CommentTextChar"/>
    <w:uiPriority w:val="99"/>
    <w:unhideWhenUsed/>
    <w:rsid w:val="0053581D"/>
    <w:pPr>
      <w:spacing w:after="0"/>
    </w:pPr>
    <w:rPr>
      <w:rFonts w:eastAsiaTheme="minorEastAsia"/>
    </w:rPr>
  </w:style>
  <w:style w:type="character" w:customStyle="1" w:styleId="CommentSubjectChar">
    <w:name w:val="Comment Subject Char"/>
    <w:basedOn w:val="CommentTextChar"/>
    <w:link w:val="CommentSubject"/>
    <w:uiPriority w:val="99"/>
    <w:rsid w:val="0053581D"/>
    <w:rPr>
      <w:rFonts w:eastAsiaTheme="minorEastAsia"/>
      <w:b/>
      <w:bCs/>
      <w:sz w:val="20"/>
      <w:szCs w:val="20"/>
    </w:rPr>
  </w:style>
  <w:style w:type="paragraph" w:styleId="CommentSubject">
    <w:name w:val="annotation subject"/>
    <w:basedOn w:val="CommentText"/>
    <w:next w:val="CommentText"/>
    <w:link w:val="CommentSubjectChar"/>
    <w:uiPriority w:val="99"/>
    <w:unhideWhenUsed/>
    <w:rsid w:val="0053581D"/>
    <w:rPr>
      <w:b/>
      <w:bCs/>
      <w:sz w:val="20"/>
      <w:szCs w:val="20"/>
    </w:rPr>
  </w:style>
  <w:style w:type="character" w:styleId="CommentReference">
    <w:name w:val="annotation reference"/>
    <w:basedOn w:val="DefaultParagraphFont"/>
    <w:uiPriority w:val="99"/>
    <w:unhideWhenUsed/>
    <w:rsid w:val="0053581D"/>
    <w:rPr>
      <w:sz w:val="18"/>
      <w:szCs w:val="18"/>
    </w:rPr>
  </w:style>
  <w:style w:type="character" w:styleId="FollowedHyperlink">
    <w:name w:val="FollowedHyperlink"/>
    <w:basedOn w:val="DefaultParagraphFont"/>
    <w:rsid w:val="00562AC0"/>
    <w:rPr>
      <w:color w:val="800080" w:themeColor="followedHyperlink"/>
      <w:u w:val="single"/>
    </w:rPr>
  </w:style>
  <w:style w:type="paragraph" w:styleId="PlainText">
    <w:name w:val="Plain Text"/>
    <w:basedOn w:val="Normal"/>
    <w:link w:val="PlainTextChar"/>
    <w:rsid w:val="00D72BD1"/>
    <w:pPr>
      <w:spacing w:after="0"/>
    </w:pPr>
    <w:rPr>
      <w:rFonts w:ascii="Courier" w:hAnsi="Courier"/>
      <w:sz w:val="21"/>
      <w:szCs w:val="21"/>
    </w:rPr>
  </w:style>
  <w:style w:type="character" w:customStyle="1" w:styleId="PlainTextChar">
    <w:name w:val="Plain Text Char"/>
    <w:basedOn w:val="DefaultParagraphFont"/>
    <w:link w:val="PlainText"/>
    <w:rsid w:val="00D72BD1"/>
    <w:rPr>
      <w:rFonts w:ascii="Courier" w:hAnsi="Courier"/>
      <w:sz w:val="21"/>
      <w:szCs w:val="21"/>
    </w:rPr>
  </w:style>
  <w:style w:type="paragraph" w:styleId="NoSpacing">
    <w:name w:val="No Spacing"/>
    <w:rsid w:val="004C0CE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9734">
      <w:bodyDiv w:val="1"/>
      <w:marLeft w:val="0"/>
      <w:marRight w:val="0"/>
      <w:marTop w:val="0"/>
      <w:marBottom w:val="0"/>
      <w:divBdr>
        <w:top w:val="none" w:sz="0" w:space="0" w:color="auto"/>
        <w:left w:val="none" w:sz="0" w:space="0" w:color="auto"/>
        <w:bottom w:val="none" w:sz="0" w:space="0" w:color="auto"/>
        <w:right w:val="none" w:sz="0" w:space="0" w:color="auto"/>
      </w:divBdr>
    </w:div>
    <w:div w:id="315843201">
      <w:bodyDiv w:val="1"/>
      <w:marLeft w:val="0"/>
      <w:marRight w:val="0"/>
      <w:marTop w:val="0"/>
      <w:marBottom w:val="0"/>
      <w:divBdr>
        <w:top w:val="none" w:sz="0" w:space="0" w:color="auto"/>
        <w:left w:val="none" w:sz="0" w:space="0" w:color="auto"/>
        <w:bottom w:val="none" w:sz="0" w:space="0" w:color="auto"/>
        <w:right w:val="none" w:sz="0" w:space="0" w:color="auto"/>
      </w:divBdr>
    </w:div>
    <w:div w:id="473134269">
      <w:bodyDiv w:val="1"/>
      <w:marLeft w:val="0"/>
      <w:marRight w:val="0"/>
      <w:marTop w:val="0"/>
      <w:marBottom w:val="0"/>
      <w:divBdr>
        <w:top w:val="none" w:sz="0" w:space="0" w:color="auto"/>
        <w:left w:val="none" w:sz="0" w:space="0" w:color="auto"/>
        <w:bottom w:val="none" w:sz="0" w:space="0" w:color="auto"/>
        <w:right w:val="none" w:sz="0" w:space="0" w:color="auto"/>
      </w:divBdr>
    </w:div>
    <w:div w:id="807821310">
      <w:bodyDiv w:val="1"/>
      <w:marLeft w:val="0"/>
      <w:marRight w:val="0"/>
      <w:marTop w:val="0"/>
      <w:marBottom w:val="0"/>
      <w:divBdr>
        <w:top w:val="none" w:sz="0" w:space="0" w:color="auto"/>
        <w:left w:val="none" w:sz="0" w:space="0" w:color="auto"/>
        <w:bottom w:val="none" w:sz="0" w:space="0" w:color="auto"/>
        <w:right w:val="none" w:sz="0" w:space="0" w:color="auto"/>
      </w:divBdr>
    </w:div>
    <w:div w:id="1518540504">
      <w:bodyDiv w:val="1"/>
      <w:marLeft w:val="0"/>
      <w:marRight w:val="0"/>
      <w:marTop w:val="0"/>
      <w:marBottom w:val="0"/>
      <w:divBdr>
        <w:top w:val="none" w:sz="0" w:space="0" w:color="auto"/>
        <w:left w:val="none" w:sz="0" w:space="0" w:color="auto"/>
        <w:bottom w:val="none" w:sz="0" w:space="0" w:color="auto"/>
        <w:right w:val="none" w:sz="0" w:space="0" w:color="auto"/>
      </w:divBdr>
      <w:divsChild>
        <w:div w:id="499467418">
          <w:marLeft w:val="0"/>
          <w:marRight w:val="0"/>
          <w:marTop w:val="0"/>
          <w:marBottom w:val="0"/>
          <w:divBdr>
            <w:top w:val="none" w:sz="0" w:space="0" w:color="auto"/>
            <w:left w:val="none" w:sz="0" w:space="0" w:color="auto"/>
            <w:bottom w:val="none" w:sz="0" w:space="0" w:color="auto"/>
            <w:right w:val="none" w:sz="0" w:space="0" w:color="auto"/>
          </w:divBdr>
        </w:div>
        <w:div w:id="1626809917">
          <w:marLeft w:val="0"/>
          <w:marRight w:val="0"/>
          <w:marTop w:val="0"/>
          <w:marBottom w:val="0"/>
          <w:divBdr>
            <w:top w:val="none" w:sz="0" w:space="0" w:color="auto"/>
            <w:left w:val="none" w:sz="0" w:space="0" w:color="auto"/>
            <w:bottom w:val="none" w:sz="0" w:space="0" w:color="auto"/>
            <w:right w:val="none" w:sz="0" w:space="0" w:color="auto"/>
          </w:divBdr>
        </w:div>
        <w:div w:id="2034573296">
          <w:marLeft w:val="0"/>
          <w:marRight w:val="0"/>
          <w:marTop w:val="0"/>
          <w:marBottom w:val="0"/>
          <w:divBdr>
            <w:top w:val="none" w:sz="0" w:space="0" w:color="auto"/>
            <w:left w:val="none" w:sz="0" w:space="0" w:color="auto"/>
            <w:bottom w:val="none" w:sz="0" w:space="0" w:color="auto"/>
            <w:right w:val="none" w:sz="0" w:space="0" w:color="auto"/>
          </w:divBdr>
        </w:div>
      </w:divsChild>
    </w:div>
    <w:div w:id="1716614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whitehouse.gov/sites/default/files/docs/2013-12-12_rg_final_report.pdf" TargetMode="External"/><Relationship Id="rId4" Type="http://schemas.openxmlformats.org/officeDocument/2006/relationships/hyperlink" Target="http://www.washingtonpost.com/world/national-security/bipartisan-house-bill-would-end-nsas-bulk-collection-of-americans-phone-data/2014/03/24/f8fac99a-b391-11e3-8020-b2d790b3c9e1_story.html" TargetMode="External"/><Relationship Id="rId5" Type="http://schemas.openxmlformats.org/officeDocument/2006/relationships/hyperlink" Target="http://www.nytimes.com/2014/03/25/us/obama-to-seek-nsa-curb-on-call-data.html" TargetMode="External"/><Relationship Id="rId6" Type="http://schemas.openxmlformats.org/officeDocument/2006/relationships/hyperlink" Target="http://thehill.com/blogs/blog-briefing-room/195931-poll-public-turning-against-nsa-practices" TargetMode="External"/><Relationship Id="rId7" Type="http://schemas.openxmlformats.org/officeDocument/2006/relationships/hyperlink" Target="https://www.eff.org/deeplinks/2013/10/polls-continue-show-majority-americans-against-nsa-spying" TargetMode="External"/><Relationship Id="rId8" Type="http://schemas.openxmlformats.org/officeDocument/2006/relationships/hyperlink" Target="https://www.aclu.org/files/assets/2013.10.25_aclu_pi_reply_-_suppl_felten_decl.pdf" TargetMode="External"/><Relationship Id="rId9" Type="http://schemas.openxmlformats.org/officeDocument/2006/relationships/hyperlink" Target="http://www.nytimes.com/2013/09/18/us/opinion-by-secret-court-calls-collection-of-phone-data-legal.html" TargetMode="External"/><Relationship Id="rId10" Type="http://schemas.openxmlformats.org/officeDocument/2006/relationships/hyperlink" Target="http://www.senate.gov/isvp/?comm=judiciary&amp;type=live&amp;filename=judiciary021214" TargetMode="External"/><Relationship Id="rId1" Type="http://schemas.openxmlformats.org/officeDocument/2006/relationships/hyperlink" Target="http://www.pclob.gov/SiteAssets/Pages/default/PCLOB-Report-on-the-Telephone-Records-Program.pdf" TargetMode="External"/><Relationship Id="rId2" Type="http://schemas.openxmlformats.org/officeDocument/2006/relationships/hyperlink" Target="https://www.aclu.org/files/natsec/nsa/20130816/Section%20215%20-%20Obama%20Administration%20White%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698960F-B275-6C46-8ADA-69EE51DE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10762</Words>
  <Characters>61345</Characters>
  <Application>Microsoft Macintosh Word</Application>
  <DocSecurity>0</DocSecurity>
  <Lines>511</Lines>
  <Paragraphs>143</Paragraphs>
  <ScaleCrop>false</ScaleCrop>
  <Company/>
  <LinksUpToDate>false</LinksUpToDate>
  <CharactersWithSpaces>71964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Gallagher</dc:creator>
  <cp:keywords/>
  <cp:lastModifiedBy>Kevin  Govern</cp:lastModifiedBy>
  <cp:revision>2</cp:revision>
  <cp:lastPrinted>2014-04-04T15:52:00Z</cp:lastPrinted>
  <dcterms:created xsi:type="dcterms:W3CDTF">2014-07-05T17:12:00Z</dcterms:created>
  <dcterms:modified xsi:type="dcterms:W3CDTF">2014-07-05T17:12:00Z</dcterms:modified>
</cp:coreProperties>
</file>